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F37" w:rsidRPr="00EE7045" w:rsidRDefault="00496F37" w:rsidP="00496F37">
      <w:pPr>
        <w:pStyle w:val="Title"/>
        <w:ind w:firstLine="284"/>
        <w:rPr>
          <w:rFonts w:ascii="Times New Roman" w:hAnsi="Times New Roman" w:cs="Times New Roman"/>
          <w:b/>
          <w:bCs/>
        </w:rPr>
      </w:pPr>
      <w:r>
        <w:rPr>
          <w:rFonts w:ascii="Times New Roman" w:hAnsi="Times New Roman" w:cs="Times New Roman"/>
          <w:b/>
          <w:bCs/>
        </w:rPr>
        <w:t xml:space="preserve">                             </w:t>
      </w:r>
      <w:r w:rsidR="009A4BC8">
        <w:rPr>
          <w:rFonts w:ascii="Times New Roman" w:hAnsi="Times New Roman" w:cs="Times New Roman"/>
          <w:b/>
          <w:bCs/>
        </w:rPr>
        <w:t xml:space="preserve">              </w:t>
      </w:r>
      <w:r w:rsidR="000A4033">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rsidR="00496F37" w:rsidRPr="003806C1" w:rsidRDefault="00090571" w:rsidP="00090571">
      <w:pPr>
        <w:pStyle w:val="Title"/>
        <w:ind w:left="720" w:firstLine="720"/>
        <w:jc w:val="left"/>
        <w:rPr>
          <w:rFonts w:ascii="Times New Roman" w:hAnsi="Times New Roman" w:cs="Times New Roman"/>
          <w:b/>
          <w:bCs/>
        </w:rPr>
      </w:pPr>
      <w:r>
        <w:rPr>
          <w:rFonts w:ascii="Times New Roman" w:hAnsi="Times New Roman" w:cs="Times New Roman"/>
          <w:b/>
          <w:bCs/>
        </w:rPr>
        <w:t xml:space="preserve">                                                                     </w:t>
      </w:r>
      <w:r w:rsidR="00496F37">
        <w:rPr>
          <w:rFonts w:ascii="Times New Roman" w:hAnsi="Times New Roman" w:cs="Times New Roman"/>
          <w:b/>
          <w:bCs/>
        </w:rPr>
        <w:t>Приказом Генерального директора</w:t>
      </w:r>
    </w:p>
    <w:p w:rsidR="003806C1" w:rsidRDefault="008912A1" w:rsidP="008912A1">
      <w:pPr>
        <w:pStyle w:val="Title"/>
        <w:ind w:firstLine="284"/>
        <w:jc w:val="left"/>
        <w:rPr>
          <w:rFonts w:ascii="Times New Roman" w:hAnsi="Times New Roman" w:cs="Times New Roman"/>
          <w:b/>
          <w:bCs/>
        </w:rPr>
      </w:pPr>
      <w:r>
        <w:rPr>
          <w:rFonts w:ascii="Times New Roman" w:hAnsi="Times New Roman" w:cs="Times New Roman"/>
          <w:b/>
          <w:bCs/>
        </w:rPr>
        <w:t xml:space="preserve">                                                                </w:t>
      </w:r>
      <w:r w:rsidR="000A4033">
        <w:rPr>
          <w:rFonts w:ascii="Times New Roman" w:hAnsi="Times New Roman" w:cs="Times New Roman"/>
          <w:b/>
          <w:bCs/>
        </w:rPr>
        <w:t xml:space="preserve">                        </w:t>
      </w:r>
      <w:r w:rsidR="003806C1">
        <w:rPr>
          <w:rFonts w:ascii="Times New Roman" w:hAnsi="Times New Roman" w:cs="Times New Roman"/>
          <w:b/>
          <w:bCs/>
        </w:rPr>
        <w:t>ТКБ</w:t>
      </w:r>
      <w:r w:rsidR="003806C1" w:rsidRPr="003806C1">
        <w:rPr>
          <w:rFonts w:ascii="Times New Roman" w:hAnsi="Times New Roman" w:cs="Times New Roman"/>
          <w:b/>
          <w:bCs/>
        </w:rPr>
        <w:t xml:space="preserve"> </w:t>
      </w:r>
      <w:proofErr w:type="spellStart"/>
      <w:r w:rsidR="003806C1">
        <w:rPr>
          <w:rFonts w:ascii="Times New Roman" w:hAnsi="Times New Roman" w:cs="Times New Roman"/>
          <w:b/>
          <w:bCs/>
        </w:rPr>
        <w:t>Инвестмент</w:t>
      </w:r>
      <w:proofErr w:type="spellEnd"/>
      <w:r w:rsidR="003806C1">
        <w:rPr>
          <w:rFonts w:ascii="Times New Roman" w:hAnsi="Times New Roman" w:cs="Times New Roman"/>
          <w:b/>
          <w:bCs/>
        </w:rPr>
        <w:t xml:space="preserve"> </w:t>
      </w:r>
      <w:proofErr w:type="spellStart"/>
      <w:r w:rsidR="003806C1">
        <w:rPr>
          <w:rFonts w:ascii="Times New Roman" w:hAnsi="Times New Roman" w:cs="Times New Roman"/>
          <w:b/>
          <w:bCs/>
        </w:rPr>
        <w:t>Партнерс</w:t>
      </w:r>
      <w:proofErr w:type="spellEnd"/>
      <w:r w:rsidR="003806C1">
        <w:rPr>
          <w:rFonts w:ascii="Times New Roman" w:hAnsi="Times New Roman" w:cs="Times New Roman"/>
          <w:b/>
          <w:bCs/>
        </w:rPr>
        <w:t xml:space="preserve"> (АО)</w:t>
      </w:r>
    </w:p>
    <w:p w:rsidR="003806C1" w:rsidRPr="003806C1" w:rsidRDefault="008912A1" w:rsidP="008912A1">
      <w:pPr>
        <w:pStyle w:val="Title"/>
        <w:ind w:firstLine="284"/>
        <w:rPr>
          <w:rFonts w:ascii="Times New Roman" w:hAnsi="Times New Roman" w:cs="Times New Roman"/>
          <w:b/>
          <w:bCs/>
        </w:rPr>
      </w:pPr>
      <w:r>
        <w:rPr>
          <w:rFonts w:ascii="Times New Roman" w:hAnsi="Times New Roman" w:cs="Times New Roman"/>
          <w:b/>
          <w:bCs/>
        </w:rPr>
        <w:t xml:space="preserve">                           </w:t>
      </w:r>
      <w:r w:rsidR="000A4033">
        <w:rPr>
          <w:rFonts w:ascii="Times New Roman" w:hAnsi="Times New Roman" w:cs="Times New Roman"/>
          <w:b/>
          <w:bCs/>
        </w:rPr>
        <w:t xml:space="preserve">                   </w:t>
      </w:r>
      <w:r w:rsidR="00090571">
        <w:rPr>
          <w:rFonts w:ascii="Times New Roman" w:hAnsi="Times New Roman" w:cs="Times New Roman"/>
          <w:b/>
          <w:bCs/>
        </w:rPr>
        <w:t xml:space="preserve">   </w:t>
      </w:r>
      <w:r w:rsidR="00EA0781">
        <w:rPr>
          <w:rFonts w:ascii="Times New Roman" w:hAnsi="Times New Roman" w:cs="Times New Roman"/>
          <w:b/>
          <w:bCs/>
        </w:rPr>
        <w:t>Кирилловым В.Е.</w:t>
      </w:r>
    </w:p>
    <w:p w:rsidR="00496F37" w:rsidRDefault="00496F37" w:rsidP="00496F37">
      <w:pPr>
        <w:pStyle w:val="Title"/>
        <w:ind w:firstLine="284"/>
        <w:rPr>
          <w:rFonts w:ascii="Times New Roman" w:hAnsi="Times New Roman" w:cs="Times New Roman"/>
          <w:b/>
          <w:bCs/>
        </w:rPr>
      </w:pPr>
      <w:r>
        <w:rPr>
          <w:rFonts w:ascii="Times New Roman" w:hAnsi="Times New Roman" w:cs="Times New Roman"/>
          <w:b/>
          <w:bCs/>
        </w:rPr>
        <w:t xml:space="preserve">                                             </w:t>
      </w:r>
      <w:r w:rsidR="00467F37">
        <w:rPr>
          <w:rFonts w:ascii="Times New Roman" w:hAnsi="Times New Roman" w:cs="Times New Roman"/>
          <w:b/>
          <w:bCs/>
        </w:rPr>
        <w:t xml:space="preserve">       </w:t>
      </w:r>
      <w:r w:rsidR="00B841D9" w:rsidRPr="00BC7486">
        <w:rPr>
          <w:rFonts w:ascii="Times New Roman" w:hAnsi="Times New Roman" w:cs="Times New Roman"/>
          <w:b/>
          <w:bCs/>
        </w:rPr>
        <w:t xml:space="preserve">          </w:t>
      </w:r>
      <w:r w:rsidR="00F17FF2">
        <w:rPr>
          <w:rFonts w:ascii="Times New Roman" w:hAnsi="Times New Roman" w:cs="Times New Roman"/>
          <w:b/>
          <w:bCs/>
        </w:rPr>
        <w:t xml:space="preserve">    </w:t>
      </w:r>
      <w:bookmarkStart w:id="0" w:name="_GoBack"/>
      <w:bookmarkEnd w:id="0"/>
      <w:r w:rsidR="00B841D9" w:rsidRPr="00BC7486">
        <w:rPr>
          <w:rFonts w:ascii="Times New Roman" w:hAnsi="Times New Roman" w:cs="Times New Roman"/>
          <w:b/>
          <w:bCs/>
        </w:rPr>
        <w:t xml:space="preserve">   </w:t>
      </w:r>
      <w:r>
        <w:rPr>
          <w:rFonts w:ascii="Times New Roman" w:hAnsi="Times New Roman" w:cs="Times New Roman"/>
          <w:b/>
          <w:bCs/>
        </w:rPr>
        <w:t xml:space="preserve">от </w:t>
      </w:r>
      <w:r w:rsidR="00F51B69">
        <w:rPr>
          <w:rFonts w:ascii="Times New Roman" w:hAnsi="Times New Roman" w:cs="Times New Roman"/>
          <w:b/>
          <w:bCs/>
        </w:rPr>
        <w:t>«</w:t>
      </w:r>
      <w:r w:rsidR="00F17FF2">
        <w:rPr>
          <w:rFonts w:ascii="Times New Roman" w:hAnsi="Times New Roman" w:cs="Times New Roman"/>
          <w:b/>
          <w:bCs/>
        </w:rPr>
        <w:t>04</w:t>
      </w:r>
      <w:r>
        <w:rPr>
          <w:rFonts w:ascii="Times New Roman" w:hAnsi="Times New Roman" w:cs="Times New Roman"/>
          <w:b/>
          <w:bCs/>
        </w:rPr>
        <w:t xml:space="preserve">» </w:t>
      </w:r>
      <w:r w:rsidR="00F17FF2">
        <w:rPr>
          <w:rFonts w:ascii="Times New Roman" w:hAnsi="Times New Roman" w:cs="Times New Roman"/>
          <w:b/>
          <w:bCs/>
        </w:rPr>
        <w:t>сентября</w:t>
      </w:r>
      <w:r w:rsidR="00B841D9" w:rsidRPr="00BC7486">
        <w:rPr>
          <w:rFonts w:ascii="Times New Roman" w:hAnsi="Times New Roman" w:cs="Times New Roman"/>
          <w:b/>
          <w:bCs/>
        </w:rPr>
        <w:t xml:space="preserve"> </w:t>
      </w:r>
      <w:r>
        <w:rPr>
          <w:rFonts w:ascii="Times New Roman" w:hAnsi="Times New Roman" w:cs="Times New Roman"/>
          <w:b/>
          <w:bCs/>
        </w:rPr>
        <w:t>20</w:t>
      </w:r>
      <w:r w:rsidR="00FB35F6">
        <w:rPr>
          <w:rFonts w:ascii="Times New Roman" w:hAnsi="Times New Roman" w:cs="Times New Roman"/>
          <w:b/>
          <w:bCs/>
        </w:rPr>
        <w:t>20</w:t>
      </w:r>
      <w:r>
        <w:rPr>
          <w:rFonts w:ascii="Times New Roman" w:hAnsi="Times New Roman" w:cs="Times New Roman"/>
          <w:b/>
          <w:bCs/>
        </w:rPr>
        <w:t xml:space="preserve"> г.</w:t>
      </w:r>
      <w:r w:rsidR="00A30606" w:rsidRPr="00A30606">
        <w:rPr>
          <w:rFonts w:ascii="Times New Roman" w:hAnsi="Times New Roman" w:cs="Times New Roman"/>
          <w:b/>
          <w:bCs/>
        </w:rPr>
        <w:t xml:space="preserve"> </w:t>
      </w:r>
      <w:r w:rsidR="00A30606">
        <w:rPr>
          <w:rFonts w:ascii="Times New Roman" w:hAnsi="Times New Roman" w:cs="Times New Roman"/>
          <w:b/>
          <w:bCs/>
        </w:rPr>
        <w:t>№</w:t>
      </w:r>
      <w:r w:rsidR="002519E2">
        <w:rPr>
          <w:rFonts w:ascii="Times New Roman" w:hAnsi="Times New Roman" w:cs="Times New Roman"/>
          <w:b/>
          <w:bCs/>
        </w:rPr>
        <w:t xml:space="preserve"> </w:t>
      </w:r>
      <w:r w:rsidR="00F17FF2">
        <w:rPr>
          <w:rFonts w:ascii="Times New Roman" w:hAnsi="Times New Roman" w:cs="Times New Roman"/>
          <w:b/>
          <w:bCs/>
        </w:rPr>
        <w:t>81</w:t>
      </w:r>
    </w:p>
    <w:p w:rsidR="00496F37" w:rsidRDefault="00496F37" w:rsidP="00E976AA">
      <w:pPr>
        <w:pStyle w:val="Title"/>
        <w:ind w:firstLine="284"/>
        <w:rPr>
          <w:rFonts w:ascii="Times New Roman" w:hAnsi="Times New Roman" w:cs="Times New Roman"/>
          <w:b/>
          <w:bCs/>
        </w:rPr>
      </w:pPr>
    </w:p>
    <w:p w:rsidR="00496F37" w:rsidRDefault="00496F37" w:rsidP="00496F37">
      <w:pPr>
        <w:pStyle w:val="Title"/>
        <w:ind w:firstLine="0"/>
        <w:jc w:val="left"/>
        <w:rPr>
          <w:rFonts w:ascii="Times New Roman" w:hAnsi="Times New Roman" w:cs="Times New Roman"/>
          <w:b/>
          <w:bCs/>
        </w:rPr>
      </w:pPr>
    </w:p>
    <w:p w:rsidR="00E976AA" w:rsidRPr="0021669C" w:rsidRDefault="00E976AA" w:rsidP="00E976AA">
      <w:pPr>
        <w:pStyle w:val="Title"/>
        <w:ind w:firstLine="284"/>
        <w:rPr>
          <w:rFonts w:ascii="Times New Roman" w:hAnsi="Times New Roman" w:cs="Times New Roman"/>
          <w:b/>
          <w:bCs/>
        </w:rPr>
      </w:pPr>
      <w:r w:rsidRPr="0021669C">
        <w:rPr>
          <w:rFonts w:ascii="Times New Roman" w:hAnsi="Times New Roman" w:cs="Times New Roman"/>
          <w:b/>
          <w:bCs/>
        </w:rPr>
        <w:t xml:space="preserve">Изменения и дополнения </w:t>
      </w:r>
      <w:r w:rsidR="00EE7045" w:rsidRPr="0021669C">
        <w:rPr>
          <w:rFonts w:ascii="Times New Roman" w:hAnsi="Times New Roman" w:cs="Times New Roman"/>
          <w:b/>
          <w:bCs/>
        </w:rPr>
        <w:t xml:space="preserve">№ </w:t>
      </w:r>
      <w:r w:rsidR="00460236">
        <w:rPr>
          <w:rFonts w:ascii="Times New Roman" w:hAnsi="Times New Roman" w:cs="Times New Roman"/>
          <w:b/>
          <w:bCs/>
        </w:rPr>
        <w:t>1</w:t>
      </w:r>
      <w:r w:rsidR="00214337">
        <w:rPr>
          <w:rFonts w:ascii="Times New Roman" w:hAnsi="Times New Roman" w:cs="Times New Roman"/>
          <w:b/>
          <w:bCs/>
        </w:rPr>
        <w:t>2</w:t>
      </w:r>
    </w:p>
    <w:p w:rsidR="00E976AA" w:rsidRPr="0021669C" w:rsidRDefault="00E976AA" w:rsidP="00E976AA">
      <w:pPr>
        <w:pStyle w:val="ConsTitle"/>
        <w:widowControl/>
        <w:jc w:val="center"/>
        <w:rPr>
          <w:rFonts w:ascii="Times New Roman" w:hAnsi="Times New Roman" w:cs="Times New Roman"/>
          <w:sz w:val="24"/>
          <w:szCs w:val="24"/>
        </w:rPr>
      </w:pPr>
      <w:r w:rsidRPr="004B5930">
        <w:rPr>
          <w:rFonts w:ascii="Times New Roman" w:hAnsi="Times New Roman" w:cs="Times New Roman"/>
          <w:b w:val="0"/>
          <w:bCs w:val="0"/>
          <w:sz w:val="24"/>
          <w:szCs w:val="24"/>
        </w:rPr>
        <w:t xml:space="preserve"> </w:t>
      </w:r>
      <w:r w:rsidRPr="0021669C">
        <w:rPr>
          <w:rFonts w:ascii="Times New Roman" w:hAnsi="Times New Roman" w:cs="Times New Roman"/>
          <w:sz w:val="24"/>
          <w:szCs w:val="24"/>
        </w:rPr>
        <w:t>в Правила доверительного управления</w:t>
      </w:r>
    </w:p>
    <w:p w:rsidR="00961D05" w:rsidRPr="004B5930" w:rsidRDefault="00E976AA" w:rsidP="00E976AA">
      <w:pPr>
        <w:pStyle w:val="ConsTitle"/>
        <w:jc w:val="center"/>
        <w:rPr>
          <w:rFonts w:ascii="Times New Roman" w:hAnsi="Times New Roman" w:cs="Times New Roman"/>
          <w:sz w:val="24"/>
          <w:szCs w:val="24"/>
        </w:rPr>
      </w:pPr>
      <w:r w:rsidRPr="004B5930">
        <w:rPr>
          <w:rFonts w:ascii="Times New Roman" w:hAnsi="Times New Roman" w:cs="Times New Roman"/>
          <w:sz w:val="24"/>
          <w:szCs w:val="24"/>
        </w:rPr>
        <w:t xml:space="preserve"> </w:t>
      </w:r>
      <w:r w:rsidR="00961D05" w:rsidRPr="004B5930">
        <w:rPr>
          <w:rFonts w:ascii="Times New Roman" w:hAnsi="Times New Roman" w:cs="Times New Roman"/>
          <w:sz w:val="24"/>
          <w:szCs w:val="24"/>
        </w:rPr>
        <w:t xml:space="preserve">Открытым </w:t>
      </w:r>
      <w:r w:rsidRPr="004B5930">
        <w:rPr>
          <w:rFonts w:ascii="Times New Roman" w:hAnsi="Times New Roman" w:cs="Times New Roman"/>
          <w:sz w:val="24"/>
          <w:szCs w:val="24"/>
        </w:rPr>
        <w:t xml:space="preserve">паевым инвестиционным фондом </w:t>
      </w:r>
      <w:r w:rsidR="00050219">
        <w:rPr>
          <w:rFonts w:ascii="Times New Roman" w:hAnsi="Times New Roman" w:cs="Times New Roman"/>
          <w:sz w:val="24"/>
          <w:szCs w:val="24"/>
        </w:rPr>
        <w:t>рыночных финансовых инструментов</w:t>
      </w:r>
    </w:p>
    <w:p w:rsidR="005974E1" w:rsidRPr="0021669C" w:rsidRDefault="00ED20DB" w:rsidP="005974E1">
      <w:pPr>
        <w:pStyle w:val="ConsTitle"/>
        <w:jc w:val="center"/>
        <w:rPr>
          <w:rFonts w:ascii="Times New Roman" w:hAnsi="Times New Roman" w:cs="Times New Roman"/>
          <w:sz w:val="24"/>
          <w:szCs w:val="24"/>
        </w:rPr>
      </w:pPr>
      <w:r w:rsidRPr="004B5930">
        <w:rPr>
          <w:rFonts w:ascii="Times New Roman" w:hAnsi="Times New Roman" w:cs="Times New Roman"/>
          <w:spacing w:val="-1"/>
          <w:sz w:val="24"/>
          <w:szCs w:val="24"/>
        </w:rPr>
        <w:t xml:space="preserve">«ТКБ </w:t>
      </w:r>
      <w:proofErr w:type="spellStart"/>
      <w:r w:rsidR="003806C1">
        <w:rPr>
          <w:rFonts w:ascii="Times New Roman" w:hAnsi="Times New Roman" w:cs="Times New Roman"/>
          <w:spacing w:val="-1"/>
          <w:sz w:val="24"/>
          <w:szCs w:val="24"/>
        </w:rPr>
        <w:t>Инвестмент</w:t>
      </w:r>
      <w:proofErr w:type="spellEnd"/>
      <w:r w:rsidR="003806C1">
        <w:rPr>
          <w:rFonts w:ascii="Times New Roman" w:hAnsi="Times New Roman" w:cs="Times New Roman"/>
          <w:spacing w:val="-1"/>
          <w:sz w:val="24"/>
          <w:szCs w:val="24"/>
        </w:rPr>
        <w:t xml:space="preserve"> </w:t>
      </w:r>
      <w:proofErr w:type="spellStart"/>
      <w:r w:rsidR="003806C1">
        <w:rPr>
          <w:rFonts w:ascii="Times New Roman" w:hAnsi="Times New Roman" w:cs="Times New Roman"/>
          <w:spacing w:val="-1"/>
          <w:sz w:val="24"/>
          <w:szCs w:val="24"/>
        </w:rPr>
        <w:t>Партнерс</w:t>
      </w:r>
      <w:proofErr w:type="spellEnd"/>
      <w:r w:rsidRPr="004B5930">
        <w:rPr>
          <w:rFonts w:ascii="Times New Roman" w:hAnsi="Times New Roman" w:cs="Times New Roman"/>
          <w:spacing w:val="-1"/>
          <w:sz w:val="24"/>
          <w:szCs w:val="24"/>
        </w:rPr>
        <w:t xml:space="preserve"> –</w:t>
      </w:r>
      <w:r w:rsidR="00B20607" w:rsidRPr="004B5930">
        <w:rPr>
          <w:rFonts w:ascii="Times New Roman" w:hAnsi="Times New Roman" w:cs="Times New Roman"/>
          <w:spacing w:val="-1"/>
          <w:sz w:val="24"/>
          <w:szCs w:val="24"/>
        </w:rPr>
        <w:t xml:space="preserve"> </w:t>
      </w:r>
      <w:r w:rsidR="004C5079" w:rsidRPr="004B5930">
        <w:rPr>
          <w:rFonts w:ascii="Times New Roman" w:hAnsi="Times New Roman" w:cs="Times New Roman"/>
          <w:spacing w:val="-1"/>
          <w:sz w:val="24"/>
          <w:szCs w:val="24"/>
        </w:rPr>
        <w:t>Золото</w:t>
      </w:r>
      <w:r w:rsidR="005974E1" w:rsidRPr="0021669C">
        <w:rPr>
          <w:rFonts w:ascii="Times New Roman" w:hAnsi="Times New Roman" w:cs="Times New Roman"/>
          <w:sz w:val="24"/>
          <w:szCs w:val="24"/>
        </w:rPr>
        <w:t>»</w:t>
      </w:r>
    </w:p>
    <w:p w:rsidR="005974E1" w:rsidRDefault="005974E1" w:rsidP="005974E1">
      <w:pPr>
        <w:pStyle w:val="Title"/>
        <w:spacing w:after="60"/>
        <w:ind w:firstLine="284"/>
        <w:rPr>
          <w:rFonts w:ascii="Times New Roman" w:hAnsi="Times New Roman" w:cs="Times New Roman"/>
          <w:sz w:val="20"/>
          <w:szCs w:val="20"/>
        </w:rPr>
      </w:pPr>
    </w:p>
    <w:p w:rsidR="00C04081"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050219">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proofErr w:type="spellStart"/>
      <w:r w:rsidR="003806C1">
        <w:rPr>
          <w:rFonts w:ascii="Times New Roman" w:hAnsi="Times New Roman" w:cs="Times New Roman"/>
          <w:b w:val="0"/>
          <w:sz w:val="20"/>
          <w:szCs w:val="20"/>
        </w:rPr>
        <w:t>Инвестмент</w:t>
      </w:r>
      <w:proofErr w:type="spellEnd"/>
      <w:r w:rsidR="003806C1">
        <w:rPr>
          <w:rFonts w:ascii="Times New Roman" w:hAnsi="Times New Roman" w:cs="Times New Roman"/>
          <w:b w:val="0"/>
          <w:sz w:val="20"/>
          <w:szCs w:val="20"/>
        </w:rPr>
        <w:t xml:space="preserve"> </w:t>
      </w:r>
      <w:proofErr w:type="spellStart"/>
      <w:r w:rsidR="003806C1">
        <w:rPr>
          <w:rFonts w:ascii="Times New Roman" w:hAnsi="Times New Roman" w:cs="Times New Roman"/>
          <w:b w:val="0"/>
          <w:sz w:val="20"/>
          <w:szCs w:val="20"/>
        </w:rPr>
        <w:t>Партнерс</w:t>
      </w:r>
      <w:proofErr w:type="spellEnd"/>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4C5079">
        <w:rPr>
          <w:rFonts w:ascii="Times New Roman" w:hAnsi="Times New Roman" w:cs="Times New Roman"/>
          <w:b w:val="0"/>
          <w:sz w:val="20"/>
          <w:szCs w:val="20"/>
        </w:rPr>
        <w:t>Золото</w:t>
      </w:r>
      <w:r w:rsidRPr="005974E1">
        <w:rPr>
          <w:rFonts w:ascii="Times New Roman" w:hAnsi="Times New Roman" w:cs="Times New Roman"/>
          <w:b w:val="0"/>
          <w:sz w:val="20"/>
          <w:szCs w:val="20"/>
        </w:rPr>
        <w:t>», зарегистрированные Ф</w:t>
      </w:r>
      <w:r w:rsidR="00EE7045">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2</w:t>
      </w:r>
      <w:r w:rsidR="00EE7045">
        <w:rPr>
          <w:rFonts w:ascii="Times New Roman" w:hAnsi="Times New Roman" w:cs="Times New Roman"/>
          <w:b w:val="0"/>
          <w:sz w:val="20"/>
          <w:szCs w:val="20"/>
        </w:rPr>
        <w:t>8</w:t>
      </w:r>
      <w:r w:rsidRPr="005974E1">
        <w:rPr>
          <w:rFonts w:ascii="Times New Roman" w:hAnsi="Times New Roman" w:cs="Times New Roman"/>
          <w:b w:val="0"/>
          <w:sz w:val="20"/>
          <w:szCs w:val="20"/>
        </w:rPr>
        <w:t> </w:t>
      </w:r>
      <w:r w:rsidR="004C5079">
        <w:rPr>
          <w:rFonts w:ascii="Times New Roman" w:hAnsi="Times New Roman" w:cs="Times New Roman"/>
          <w:b w:val="0"/>
          <w:sz w:val="20"/>
          <w:szCs w:val="20"/>
        </w:rPr>
        <w:t>декабр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w:t>
      </w:r>
      <w:r w:rsidR="004C5079">
        <w:rPr>
          <w:rFonts w:ascii="Times New Roman" w:hAnsi="Times New Roman" w:cs="Times New Roman"/>
          <w:b w:val="0"/>
          <w:sz w:val="20"/>
          <w:szCs w:val="20"/>
        </w:rPr>
        <w:t>10</w:t>
      </w:r>
      <w:r w:rsidR="00050219">
        <w:rPr>
          <w:rFonts w:ascii="Times New Roman" w:hAnsi="Times New Roman" w:cs="Times New Roman"/>
          <w:b w:val="0"/>
          <w:sz w:val="20"/>
          <w:szCs w:val="20"/>
        </w:rPr>
        <w:t xml:space="preserve"> г. за №</w:t>
      </w:r>
      <w:r w:rsidR="004C5079">
        <w:rPr>
          <w:rFonts w:ascii="Times New Roman" w:hAnsi="Times New Roman" w:cs="Times New Roman"/>
          <w:b w:val="0"/>
          <w:sz w:val="20"/>
          <w:szCs w:val="20"/>
        </w:rPr>
        <w:t>2026</w:t>
      </w:r>
      <w:r w:rsidRPr="005974E1">
        <w:rPr>
          <w:rFonts w:ascii="Times New Roman" w:hAnsi="Times New Roman" w:cs="Times New Roman"/>
          <w:b w:val="0"/>
          <w:sz w:val="20"/>
          <w:szCs w:val="20"/>
        </w:rPr>
        <w:t>-</w:t>
      </w:r>
      <w:r w:rsidR="004C5079">
        <w:rPr>
          <w:rFonts w:ascii="Times New Roman" w:hAnsi="Times New Roman" w:cs="Times New Roman"/>
          <w:b w:val="0"/>
          <w:sz w:val="20"/>
          <w:szCs w:val="20"/>
        </w:rPr>
        <w:t>94198244</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70"/>
        <w:gridCol w:w="4253"/>
      </w:tblGrid>
      <w:tr w:rsidR="00C71145" w:rsidRPr="00802743" w:rsidTr="00C1316B">
        <w:trPr>
          <w:trHeight w:val="537"/>
        </w:trPr>
        <w:tc>
          <w:tcPr>
            <w:tcW w:w="568" w:type="dxa"/>
            <w:shd w:val="clear" w:color="auto" w:fill="F3F3F3"/>
          </w:tcPr>
          <w:p w:rsidR="00E44D5F" w:rsidRPr="00623E98" w:rsidRDefault="00E44D5F" w:rsidP="00576992">
            <w:pPr>
              <w:pStyle w:val="prg3"/>
              <w:numPr>
                <w:ilvl w:val="0"/>
                <w:numId w:val="0"/>
              </w:numPr>
              <w:spacing w:line="280" w:lineRule="exact"/>
              <w:jc w:val="center"/>
              <w:rPr>
                <w:rFonts w:ascii="Times New Roman" w:hAnsi="Times New Roman" w:cs="Times New Roman"/>
                <w:kern w:val="0"/>
              </w:rPr>
            </w:pPr>
            <w:r w:rsidRPr="00623E98">
              <w:rPr>
                <w:rFonts w:ascii="Times New Roman" w:hAnsi="Times New Roman" w:cs="Times New Roman"/>
                <w:kern w:val="0"/>
              </w:rPr>
              <w:t>№ п/п</w:t>
            </w:r>
          </w:p>
        </w:tc>
        <w:tc>
          <w:tcPr>
            <w:tcW w:w="1076" w:type="dxa"/>
            <w:shd w:val="clear" w:color="auto" w:fill="F3F3F3"/>
          </w:tcPr>
          <w:p w:rsidR="00E44D5F" w:rsidRPr="00623E98" w:rsidRDefault="00E44D5F" w:rsidP="00576992">
            <w:pPr>
              <w:autoSpaceDE/>
              <w:autoSpaceDN/>
              <w:jc w:val="center"/>
            </w:pPr>
            <w:r w:rsidRPr="00623E98">
              <w:t xml:space="preserve">Номер </w:t>
            </w:r>
            <w:proofErr w:type="spellStart"/>
            <w:proofErr w:type="gramStart"/>
            <w:r w:rsidRPr="00623E98">
              <w:t>редакти-руемого</w:t>
            </w:r>
            <w:proofErr w:type="spellEnd"/>
            <w:proofErr w:type="gramEnd"/>
          </w:p>
          <w:p w:rsidR="00E44D5F" w:rsidRPr="00623E98" w:rsidRDefault="00E44D5F" w:rsidP="00576992">
            <w:pPr>
              <w:autoSpaceDE/>
              <w:autoSpaceDN/>
              <w:jc w:val="center"/>
            </w:pPr>
            <w:r w:rsidRPr="00623E98">
              <w:t>пункта</w:t>
            </w:r>
          </w:p>
        </w:tc>
        <w:tc>
          <w:tcPr>
            <w:tcW w:w="4170" w:type="dxa"/>
            <w:shd w:val="clear" w:color="auto" w:fill="F3F3F3"/>
            <w:vAlign w:val="center"/>
          </w:tcPr>
          <w:p w:rsidR="00E44D5F" w:rsidRPr="00623E98" w:rsidRDefault="00E44D5F" w:rsidP="00E44D5F">
            <w:pPr>
              <w:pStyle w:val="prg3"/>
              <w:numPr>
                <w:ilvl w:val="0"/>
                <w:numId w:val="0"/>
              </w:numPr>
              <w:spacing w:line="280" w:lineRule="exact"/>
              <w:jc w:val="center"/>
              <w:rPr>
                <w:rFonts w:ascii="Times New Roman" w:hAnsi="Times New Roman" w:cs="Times New Roman"/>
                <w:kern w:val="0"/>
              </w:rPr>
            </w:pPr>
            <w:r w:rsidRPr="00623E98">
              <w:rPr>
                <w:rFonts w:ascii="Times New Roman" w:hAnsi="Times New Roman" w:cs="Times New Roman"/>
                <w:kern w:val="0"/>
              </w:rPr>
              <w:t>Пункт в прежней редакции</w:t>
            </w:r>
          </w:p>
        </w:tc>
        <w:tc>
          <w:tcPr>
            <w:tcW w:w="4253" w:type="dxa"/>
            <w:shd w:val="clear" w:color="auto" w:fill="F3F3F3"/>
            <w:vAlign w:val="center"/>
          </w:tcPr>
          <w:p w:rsidR="00E44D5F" w:rsidRPr="00623E98" w:rsidRDefault="00E44D5F" w:rsidP="00E44D5F">
            <w:pPr>
              <w:pStyle w:val="prg3"/>
              <w:numPr>
                <w:ilvl w:val="0"/>
                <w:numId w:val="0"/>
              </w:numPr>
              <w:jc w:val="center"/>
              <w:rPr>
                <w:rFonts w:ascii="Times New Roman" w:hAnsi="Times New Roman" w:cs="Times New Roman"/>
              </w:rPr>
            </w:pPr>
            <w:r w:rsidRPr="00623E98">
              <w:rPr>
                <w:rFonts w:ascii="Times New Roman" w:hAnsi="Times New Roman" w:cs="Times New Roman"/>
              </w:rPr>
              <w:t>Пункт в новой редакции</w:t>
            </w:r>
          </w:p>
        </w:tc>
      </w:tr>
      <w:tr w:rsidR="009F0AC2" w:rsidRPr="00BD4142" w:rsidTr="00C1316B">
        <w:trPr>
          <w:trHeight w:val="652"/>
        </w:trPr>
        <w:tc>
          <w:tcPr>
            <w:tcW w:w="568" w:type="dxa"/>
          </w:tcPr>
          <w:p w:rsidR="009F0AC2" w:rsidRPr="00623E98" w:rsidRDefault="009F0AC2" w:rsidP="00B07B1D">
            <w:pPr>
              <w:pStyle w:val="prg3"/>
              <w:numPr>
                <w:ilvl w:val="0"/>
                <w:numId w:val="0"/>
              </w:numPr>
              <w:spacing w:before="0" w:after="120"/>
              <w:ind w:left="-87"/>
              <w:jc w:val="center"/>
              <w:rPr>
                <w:rFonts w:ascii="Times New Roman" w:hAnsi="Times New Roman" w:cs="Times New Roman"/>
                <w:kern w:val="0"/>
              </w:rPr>
            </w:pPr>
            <w:r w:rsidRPr="00623E98">
              <w:rPr>
                <w:rFonts w:ascii="Times New Roman" w:hAnsi="Times New Roman" w:cs="Times New Roman"/>
                <w:kern w:val="0"/>
              </w:rPr>
              <w:t>1</w:t>
            </w:r>
          </w:p>
        </w:tc>
        <w:tc>
          <w:tcPr>
            <w:tcW w:w="1076" w:type="dxa"/>
          </w:tcPr>
          <w:p w:rsidR="009F0AC2" w:rsidRPr="00623E98" w:rsidRDefault="009F0AC2" w:rsidP="00FB35F6">
            <w:pPr>
              <w:pStyle w:val="prg3"/>
              <w:numPr>
                <w:ilvl w:val="0"/>
                <w:numId w:val="0"/>
              </w:numPr>
              <w:spacing w:before="0" w:after="120"/>
              <w:jc w:val="center"/>
              <w:rPr>
                <w:rFonts w:ascii="Times New Roman" w:hAnsi="Times New Roman" w:cs="Times New Roman"/>
                <w:kern w:val="0"/>
              </w:rPr>
            </w:pPr>
          </w:p>
        </w:tc>
        <w:tc>
          <w:tcPr>
            <w:tcW w:w="4170" w:type="dxa"/>
          </w:tcPr>
          <w:p w:rsidR="009F0AC2" w:rsidRPr="00623E98" w:rsidRDefault="00F466B8" w:rsidP="00DB46A2">
            <w:pPr>
              <w:shd w:val="clear" w:color="auto" w:fill="FFFFFF"/>
              <w:tabs>
                <w:tab w:val="left" w:pos="5004"/>
              </w:tabs>
              <w:autoSpaceDE/>
              <w:autoSpaceDN/>
              <w:jc w:val="both"/>
              <w:rPr>
                <w:lang w:eastAsia="en-US"/>
              </w:rPr>
            </w:pPr>
            <w:r w:rsidRPr="00623E98">
              <w:rPr>
                <w:lang w:eastAsia="en-US"/>
              </w:rPr>
              <w:t xml:space="preserve">Изложить раздел </w:t>
            </w:r>
            <w:r w:rsidRPr="00623E98">
              <w:rPr>
                <w:lang w:val="en-US" w:eastAsia="en-US"/>
              </w:rPr>
              <w:t>II</w:t>
            </w:r>
            <w:r w:rsidRPr="00623E98">
              <w:rPr>
                <w:lang w:eastAsia="en-US"/>
              </w:rPr>
              <w:t>. Инвестиционная декларация в новой редакции</w:t>
            </w:r>
          </w:p>
        </w:tc>
        <w:tc>
          <w:tcPr>
            <w:tcW w:w="4253" w:type="dxa"/>
          </w:tcPr>
          <w:p w:rsidR="00F466B8" w:rsidRPr="00623E98" w:rsidRDefault="00F466B8" w:rsidP="00F466B8">
            <w:pPr>
              <w:autoSpaceDE/>
              <w:autoSpaceDN/>
              <w:spacing w:before="60" w:after="60"/>
              <w:jc w:val="both"/>
              <w:rPr>
                <w:lang w:eastAsia="en-US"/>
              </w:rPr>
            </w:pPr>
            <w:r w:rsidRPr="00623E98">
              <w:rPr>
                <w:lang w:eastAsia="en-US"/>
              </w:rPr>
              <w:t>20.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F466B8" w:rsidRPr="00623E98" w:rsidRDefault="00F466B8" w:rsidP="00F466B8">
            <w:pPr>
              <w:autoSpaceDE/>
              <w:autoSpaceDN/>
              <w:spacing w:before="60" w:after="60"/>
              <w:jc w:val="both"/>
              <w:rPr>
                <w:lang w:eastAsia="en-US"/>
              </w:rPr>
            </w:pPr>
            <w:r w:rsidRPr="00623E98">
              <w:rPr>
                <w:lang w:eastAsia="en-US"/>
              </w:rPr>
              <w:t>21. Инвестиционная политика управляющей компании:</w:t>
            </w:r>
          </w:p>
          <w:p w:rsidR="00F466B8" w:rsidRPr="00623E98" w:rsidRDefault="00F466B8" w:rsidP="00F466B8">
            <w:pPr>
              <w:ind w:firstLine="708"/>
              <w:jc w:val="both"/>
              <w:rPr>
                <w:lang w:eastAsia="en-US"/>
              </w:rPr>
            </w:pPr>
            <w:r w:rsidRPr="00623E98">
              <w:t xml:space="preserve">Инвестиционной политикой управляющей компании является долгосрочное вложение средств в ценные бумаги, оценочная стоимость которых положительно коррелирована с ценой биржевого товара – золота, преимущественно - в паи (акции) иностранных инвестиционных фондов, осуществляющих инвестирование в </w:t>
            </w:r>
            <w:r w:rsidRPr="00623E98">
              <w:rPr>
                <w:bCs/>
              </w:rPr>
              <w:t>физическое золото в слитках</w:t>
            </w:r>
            <w:r w:rsidRPr="00623E98">
              <w:t>, и краткосрочное вложение средств в производные финансовые инструменты (имущественные права из фьючерсных и опционных договоров (контрактов)) и иные объекты, предусмотренные настоящими Правилами.</w:t>
            </w:r>
          </w:p>
          <w:p w:rsidR="00F466B8" w:rsidRPr="00623E98" w:rsidRDefault="00F466B8" w:rsidP="00F466B8">
            <w:pPr>
              <w:autoSpaceDE/>
              <w:autoSpaceDN/>
              <w:jc w:val="both"/>
              <w:rPr>
                <w:lang w:eastAsia="en-US"/>
              </w:rPr>
            </w:pPr>
            <w:r w:rsidRPr="00623E98">
              <w:rPr>
                <w:lang w:eastAsia="en-US"/>
              </w:rPr>
              <w:t xml:space="preserve">          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p>
          <w:p w:rsidR="00F466B8" w:rsidRPr="00623E98" w:rsidRDefault="00F466B8" w:rsidP="00F466B8"/>
          <w:p w:rsidR="00F466B8" w:rsidRPr="00623E98" w:rsidRDefault="00F466B8" w:rsidP="00F466B8">
            <w:pPr>
              <w:shd w:val="clear" w:color="auto" w:fill="FFFFFF"/>
              <w:tabs>
                <w:tab w:val="left" w:pos="5004"/>
              </w:tabs>
              <w:autoSpaceDE/>
              <w:autoSpaceDN/>
              <w:rPr>
                <w:lang w:eastAsia="en-US"/>
              </w:rPr>
            </w:pPr>
            <w:r w:rsidRPr="00623E98">
              <w:rPr>
                <w:lang w:eastAsia="en-US"/>
              </w:rPr>
              <w:t>22. Объекты инвестирования, их состав и описание.</w:t>
            </w:r>
          </w:p>
          <w:p w:rsidR="00F466B8" w:rsidRPr="00623E98" w:rsidRDefault="00F466B8" w:rsidP="00F466B8">
            <w:pPr>
              <w:shd w:val="clear" w:color="auto" w:fill="FFFFFF"/>
              <w:tabs>
                <w:tab w:val="left" w:pos="284"/>
              </w:tabs>
              <w:autoSpaceDE/>
              <w:autoSpaceDN/>
              <w:rPr>
                <w:lang w:eastAsia="en-US"/>
              </w:rPr>
            </w:pPr>
            <w:r w:rsidRPr="00623E98">
              <w:rPr>
                <w:lang w:eastAsia="en-US"/>
              </w:rPr>
              <w:tab/>
              <w:t>22.1. Имущество, составляющее фонд, может быть инвестировано в:</w:t>
            </w:r>
          </w:p>
          <w:p w:rsidR="00F466B8" w:rsidRPr="00623E98" w:rsidRDefault="00F466B8" w:rsidP="00F466B8">
            <w:pPr>
              <w:shd w:val="clear" w:color="auto" w:fill="FFFFFF"/>
              <w:tabs>
                <w:tab w:val="left" w:pos="709"/>
              </w:tabs>
              <w:autoSpaceDE/>
              <w:autoSpaceDN/>
              <w:spacing w:after="120"/>
              <w:rPr>
                <w:lang w:eastAsia="en-US"/>
              </w:rPr>
            </w:pPr>
            <w:r w:rsidRPr="00623E98">
              <w:rPr>
                <w:lang w:eastAsia="en-US"/>
              </w:rPr>
              <w:tab/>
              <w:t xml:space="preserve">22.1.1 </w:t>
            </w:r>
            <w:r w:rsidRPr="00623E98">
              <w:rPr>
                <w:i/>
                <w:lang w:eastAsia="en-US"/>
              </w:rPr>
              <w:t>инструменты денежного рынка,</w:t>
            </w:r>
            <w:r w:rsidRPr="00623E98">
              <w:rPr>
                <w:lang w:eastAsia="en-US"/>
              </w:rPr>
              <w:t xml:space="preserve"> под которыми в целях настоящих Правил понимаются:</w:t>
            </w:r>
          </w:p>
          <w:p w:rsidR="00F466B8" w:rsidRPr="00623E98" w:rsidRDefault="00F466B8" w:rsidP="00F466B8">
            <w:pPr>
              <w:shd w:val="clear" w:color="auto" w:fill="FFFFFF"/>
              <w:tabs>
                <w:tab w:val="left" w:pos="709"/>
              </w:tabs>
              <w:autoSpaceDE/>
              <w:autoSpaceDN/>
              <w:spacing w:after="120"/>
              <w:jc w:val="both"/>
              <w:rPr>
                <w:lang w:eastAsia="en-US"/>
              </w:rPr>
            </w:pPr>
            <w:r w:rsidRPr="00623E98">
              <w:rPr>
                <w:lang w:eastAsia="en-US"/>
              </w:rPr>
              <w:lastRenderedPageBreak/>
              <w:t>22.1.1.1 денежные средства в рублях и в 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rsidR="00F466B8" w:rsidRPr="00623E98" w:rsidRDefault="00F466B8" w:rsidP="00F466B8">
            <w:pPr>
              <w:autoSpaceDE/>
              <w:autoSpaceDN/>
            </w:pPr>
            <w:r w:rsidRPr="00623E98">
              <w:t>22.1.1.2. государственные ценные бумаги Российской Федерации;</w:t>
            </w:r>
          </w:p>
          <w:p w:rsidR="00F466B8" w:rsidRPr="00623E98" w:rsidRDefault="00F466B8" w:rsidP="00F466B8">
            <w:pPr>
              <w:autoSpaceDE/>
              <w:autoSpaceDN/>
            </w:pPr>
            <w:r w:rsidRPr="00623E98">
              <w:t>22.1.1.3. государственные ценные бумаги иностранных государств;</w:t>
            </w:r>
          </w:p>
          <w:p w:rsidR="00F466B8" w:rsidRPr="00623E98" w:rsidRDefault="00F466B8" w:rsidP="00F466B8">
            <w:pPr>
              <w:autoSpaceDE/>
              <w:autoSpaceDN/>
              <w:ind w:firstLine="567"/>
              <w:jc w:val="both"/>
            </w:pPr>
            <w:r w:rsidRPr="00623E98">
              <w:t>22.1.2. облигации российских юридических лиц;</w:t>
            </w:r>
          </w:p>
          <w:p w:rsidR="00F466B8" w:rsidRPr="00623E98" w:rsidRDefault="00F466B8" w:rsidP="00F466B8">
            <w:pPr>
              <w:autoSpaceDE/>
              <w:autoSpaceDN/>
              <w:ind w:firstLine="567"/>
              <w:jc w:val="both"/>
            </w:pPr>
            <w:r w:rsidRPr="00623E98">
              <w:t>22.1.3. государственные ценные бумаги субъектов Российской Федерации и муниципальные ценные бумаги;</w:t>
            </w:r>
          </w:p>
          <w:p w:rsidR="00F466B8" w:rsidRPr="00623E98" w:rsidRDefault="00F466B8" w:rsidP="00F466B8">
            <w:pPr>
              <w:autoSpaceDE/>
              <w:autoSpaceDN/>
              <w:ind w:firstLine="567"/>
              <w:jc w:val="both"/>
            </w:pPr>
            <w:r w:rsidRPr="00623E98">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rsidR="00F466B8" w:rsidRPr="00623E98" w:rsidRDefault="00F466B8" w:rsidP="00F466B8">
            <w:pPr>
              <w:autoSpaceDE/>
              <w:autoSpaceDN/>
              <w:ind w:firstLine="567"/>
              <w:jc w:val="both"/>
            </w:pPr>
            <w:r w:rsidRPr="00623E98">
              <w:t xml:space="preserve">22.1.5. полностью оплаченные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 </w:t>
            </w:r>
            <w:r w:rsidR="00B841D9" w:rsidRPr="0090429C">
              <w:rPr>
                <w:color w:val="000000" w:themeColor="text1"/>
              </w:rPr>
              <w:t>преимущественно - акций российских акционерных обществ</w:t>
            </w:r>
            <w:r w:rsidR="00B841D9">
              <w:rPr>
                <w:iCs/>
              </w:rPr>
              <w:t xml:space="preserve">, </w:t>
            </w:r>
            <w:r w:rsidRPr="00623E98">
              <w:rPr>
                <w:iCs/>
              </w:rPr>
              <w:t>деятельность которых связана с золотодобычей, с разработкой месторождений золота, с производством и/или переработкой золота;</w:t>
            </w:r>
          </w:p>
          <w:p w:rsidR="00F466B8" w:rsidRPr="00623E98" w:rsidRDefault="00F466B8" w:rsidP="00F466B8">
            <w:pPr>
              <w:autoSpaceDE/>
              <w:autoSpaceDN/>
              <w:ind w:firstLine="567"/>
              <w:jc w:val="both"/>
            </w:pPr>
            <w:r w:rsidRPr="00623E98">
              <w:t>22.1.6. полностью оплаченные обыкновенные и привилегированные акции иностранных акционерных обществ,</w:t>
            </w:r>
            <w:r w:rsidRPr="00623E98">
              <w:rPr>
                <w:iCs/>
              </w:rPr>
              <w:t xml:space="preserve"> </w:t>
            </w:r>
            <w:r w:rsidR="00B841D9" w:rsidRPr="0090429C">
              <w:rPr>
                <w:iCs/>
              </w:rPr>
              <w:t xml:space="preserve">преимущественно - </w:t>
            </w:r>
            <w:r w:rsidR="00B841D9" w:rsidRPr="0090429C">
              <w:rPr>
                <w:color w:val="000000" w:themeColor="text1"/>
              </w:rPr>
              <w:t>акции иностранных акционерных обществ</w:t>
            </w:r>
            <w:r w:rsidR="00B841D9">
              <w:rPr>
                <w:iCs/>
              </w:rPr>
              <w:t xml:space="preserve">, </w:t>
            </w:r>
            <w:r w:rsidRPr="00623E98">
              <w:rPr>
                <w:iCs/>
              </w:rPr>
              <w:t>деятельность которых связана с золотодобычей, с разработкой месторождений золота, с производством и/или переработкой золота;</w:t>
            </w:r>
          </w:p>
          <w:p w:rsidR="00F466B8" w:rsidRPr="00623E98" w:rsidRDefault="00F466B8" w:rsidP="00F466B8">
            <w:pPr>
              <w:autoSpaceDE/>
              <w:autoSpaceDN/>
              <w:ind w:firstLine="567"/>
            </w:pPr>
            <w:r w:rsidRPr="00623E98">
              <w:t xml:space="preserve"> </w:t>
            </w:r>
            <w:r w:rsidRPr="00623E98">
              <w:rPr>
                <w:lang w:eastAsia="en-US"/>
              </w:rPr>
              <w:tab/>
              <w:t xml:space="preserve">22.1.7. </w:t>
            </w:r>
            <w:r w:rsidRPr="00623E98">
              <w:t xml:space="preserve">паи (акции) иностранных инвестиционных фондов, если присвоенный указанным паям (акциям) код CFI соответствует одному из следующих условий: </w:t>
            </w:r>
          </w:p>
          <w:p w:rsidR="00F466B8" w:rsidRPr="00623E98" w:rsidRDefault="00F466B8" w:rsidP="00F466B8">
            <w:pPr>
              <w:ind w:firstLine="567"/>
              <w:jc w:val="both"/>
            </w:pPr>
            <w:r w:rsidRPr="00623E98">
              <w:t>22.1.7.1. если указанным паям (акциям) код CFI присвоен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«O»</w:t>
            </w:r>
            <w:r w:rsidR="00420414" w:rsidRPr="00623E98">
              <w:t>,</w:t>
            </w:r>
            <w:r w:rsidRPr="00F2004B">
              <w:t xml:space="preserve"> или «C», </w:t>
            </w:r>
            <w:r w:rsidR="00420414" w:rsidRPr="00F2004B">
              <w:t>или «</w:t>
            </w:r>
            <w:r w:rsidR="00420414" w:rsidRPr="00F2004B">
              <w:rPr>
                <w:lang w:val="en-US"/>
              </w:rPr>
              <w:t>X</w:t>
            </w:r>
            <w:r w:rsidR="00420414" w:rsidRPr="00F2004B">
              <w:t xml:space="preserve">», </w:t>
            </w:r>
            <w:r w:rsidRPr="00623E98">
              <w:t>пятая буква – значение «С», или «S», или «</w:t>
            </w:r>
            <w:r w:rsidRPr="00623E98">
              <w:rPr>
                <w:lang w:val="en-US"/>
              </w:rPr>
              <w:t>D</w:t>
            </w:r>
            <w:r w:rsidRPr="00623E98">
              <w:t>», или «</w:t>
            </w:r>
            <w:r w:rsidRPr="00623E98">
              <w:rPr>
                <w:lang w:val="en-US"/>
              </w:rPr>
              <w:t>M</w:t>
            </w:r>
            <w:r w:rsidRPr="00623E98">
              <w:t>»</w:t>
            </w:r>
            <w:r w:rsidR="00420414" w:rsidRPr="00623E98">
              <w:t>, или «</w:t>
            </w:r>
            <w:r w:rsidR="00420414" w:rsidRPr="00623E98">
              <w:rPr>
                <w:lang w:val="en-US"/>
              </w:rPr>
              <w:t>C</w:t>
            </w:r>
            <w:r w:rsidR="00420414" w:rsidRPr="00623E98">
              <w:t>», или «</w:t>
            </w:r>
            <w:r w:rsidR="00420414" w:rsidRPr="00623E98">
              <w:rPr>
                <w:lang w:val="en-US"/>
              </w:rPr>
              <w:t>X</w:t>
            </w:r>
            <w:r w:rsidR="00420414" w:rsidRPr="00623E98">
              <w:t>»</w:t>
            </w:r>
            <w:r w:rsidRPr="00623E98">
              <w:t>;</w:t>
            </w:r>
          </w:p>
          <w:p w:rsidR="00F466B8" w:rsidRPr="00623E98" w:rsidRDefault="00F466B8" w:rsidP="00F466B8">
            <w:pPr>
              <w:ind w:firstLine="567"/>
              <w:jc w:val="both"/>
            </w:pPr>
            <w:r w:rsidRPr="00623E98">
              <w:t>22.1.7.2.</w:t>
            </w:r>
            <w:r w:rsidRPr="00623E98">
              <w:rPr>
                <w:lang w:eastAsia="en-US"/>
              </w:rPr>
              <w:t xml:space="preserve"> </w:t>
            </w:r>
            <w:r w:rsidRPr="00623E98">
              <w:t xml:space="preserve">если указанным паям (акциям) код CFI присвоен в соответствии с международным стандартом ISO 10962:2015, то он должен иметь следующие значения: первая буква – значение «С», третья буква – значение «О», или «C», или «М», или «Х», пятая буква – значение «B», </w:t>
            </w:r>
            <w:r w:rsidR="00F82A23" w:rsidRPr="00623E98">
              <w:t>или «</w:t>
            </w:r>
            <w:r w:rsidR="00F82A23" w:rsidRPr="00623E98">
              <w:rPr>
                <w:lang w:val="en-US"/>
              </w:rPr>
              <w:t>E</w:t>
            </w:r>
            <w:r w:rsidR="00F82A23" w:rsidRPr="00623E98">
              <w:t xml:space="preserve">», </w:t>
            </w:r>
            <w:r w:rsidRPr="00623E98">
              <w:t>или «С», или «D», или «K», или «L», или «М», или «V», или «</w:t>
            </w:r>
            <w:r w:rsidRPr="00623E98">
              <w:rPr>
                <w:lang w:val="en-US"/>
              </w:rPr>
              <w:t>F</w:t>
            </w:r>
            <w:r w:rsidRPr="00623E98">
              <w:t>»</w:t>
            </w:r>
            <w:r w:rsidR="00B936D0" w:rsidRPr="00623E98">
              <w:t>, или «</w:t>
            </w:r>
            <w:r w:rsidR="00B936D0" w:rsidRPr="00623E98">
              <w:rPr>
                <w:lang w:val="en-US"/>
              </w:rPr>
              <w:t>X</w:t>
            </w:r>
            <w:r w:rsidR="00B936D0" w:rsidRPr="00623E98">
              <w:t>», или «</w:t>
            </w:r>
            <w:r w:rsidR="00B936D0" w:rsidRPr="00623E98">
              <w:rPr>
                <w:lang w:val="en-US"/>
              </w:rPr>
              <w:t>I</w:t>
            </w:r>
            <w:r w:rsidR="00B936D0" w:rsidRPr="00623E98">
              <w:t>»</w:t>
            </w:r>
            <w:r w:rsidRPr="00623E98">
              <w:t>;</w:t>
            </w:r>
          </w:p>
          <w:p w:rsidR="00F466B8" w:rsidRPr="00623E98" w:rsidRDefault="00F466B8" w:rsidP="00F466B8">
            <w:pPr>
              <w:shd w:val="clear" w:color="auto" w:fill="FFFFFF"/>
              <w:tabs>
                <w:tab w:val="left" w:pos="709"/>
              </w:tabs>
              <w:autoSpaceDE/>
              <w:autoSpaceDN/>
              <w:spacing w:after="120"/>
              <w:ind w:firstLine="709"/>
              <w:jc w:val="both"/>
              <w:rPr>
                <w:lang w:eastAsia="en-US"/>
              </w:rPr>
            </w:pPr>
            <w:r w:rsidRPr="00383590">
              <w:rPr>
                <w:lang w:eastAsia="en-US"/>
              </w:rPr>
              <w:t xml:space="preserve">22.1.8. </w:t>
            </w:r>
            <w:r w:rsidRPr="00383590">
              <w:t xml:space="preserve">российские и иностранные депозитарные расписки на ценные бумаги, </w:t>
            </w:r>
            <w:r w:rsidRPr="00383590">
              <w:lastRenderedPageBreak/>
              <w:t>предусмотренные пунктами 22.1.</w:t>
            </w:r>
            <w:r w:rsidR="00B04683" w:rsidRPr="00327342">
              <w:t>1</w:t>
            </w:r>
            <w:r w:rsidR="00E44291">
              <w:t>.2, 22.1.1.3, а также 22.1.2</w:t>
            </w:r>
            <w:r w:rsidRPr="00327342">
              <w:t xml:space="preserve"> </w:t>
            </w:r>
            <w:r w:rsidR="00E44291">
              <w:t xml:space="preserve">- </w:t>
            </w:r>
            <w:r w:rsidRPr="00623E98">
              <w:t>22.1.</w:t>
            </w:r>
            <w:r w:rsidR="00B04683" w:rsidRPr="00623E98">
              <w:t>7</w:t>
            </w:r>
            <w:r w:rsidRPr="00623E98">
              <w:t>.</w:t>
            </w:r>
          </w:p>
          <w:p w:rsidR="00F466B8" w:rsidRPr="00623E98" w:rsidRDefault="00F466B8" w:rsidP="00F466B8">
            <w:pPr>
              <w:shd w:val="clear" w:color="auto" w:fill="FFFFFF"/>
              <w:tabs>
                <w:tab w:val="left" w:pos="709"/>
              </w:tabs>
              <w:autoSpaceDE/>
              <w:autoSpaceDN/>
              <w:spacing w:after="120"/>
              <w:ind w:firstLine="709"/>
              <w:jc w:val="both"/>
              <w:rPr>
                <w:lang w:eastAsia="en-US"/>
              </w:rPr>
            </w:pPr>
            <w:r w:rsidRPr="00623E98">
              <w:rPr>
                <w:lang w:eastAsia="en-US"/>
              </w:rPr>
              <w:t>22.1.9. производные финансовые инструменты (фьючерсные и опционные договоры (контракты)) при соблюдении условий, предусмотренных пунктом 22.7. настоящих Правил.</w:t>
            </w:r>
          </w:p>
          <w:p w:rsidR="00F466B8" w:rsidRPr="00623E98" w:rsidRDefault="00F466B8" w:rsidP="00F466B8">
            <w:pPr>
              <w:shd w:val="clear" w:color="auto" w:fill="FFFFFF"/>
              <w:tabs>
                <w:tab w:val="left" w:pos="709"/>
              </w:tabs>
              <w:autoSpaceDE/>
              <w:autoSpaceDN/>
              <w:spacing w:after="120"/>
              <w:ind w:firstLine="270"/>
              <w:rPr>
                <w:lang w:eastAsia="en-US"/>
              </w:rPr>
            </w:pPr>
            <w:r w:rsidRPr="00623E98">
              <w:rPr>
                <w:lang w:eastAsia="en-US"/>
              </w:rPr>
              <w:t>22.2. Лица, обязанные по:</w:t>
            </w:r>
          </w:p>
          <w:p w:rsidR="00F466B8" w:rsidRPr="00623E98" w:rsidRDefault="00F466B8" w:rsidP="00F466B8">
            <w:pPr>
              <w:shd w:val="clear" w:color="auto" w:fill="FFFFFF"/>
              <w:spacing w:before="60" w:after="60"/>
              <w:jc w:val="both"/>
              <w:rPr>
                <w:lang w:eastAsia="en-US"/>
              </w:rPr>
            </w:pPr>
            <w:r w:rsidRPr="00623E98">
              <w:rPr>
                <w:lang w:eastAsia="en-US"/>
              </w:rPr>
              <w:t xml:space="preserve"> 22.2.1.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юридических лиц, акциям российских акционерных обществ </w:t>
            </w:r>
            <w:r w:rsidRPr="00623E98">
              <w:t>и российским депозитарным распискам</w:t>
            </w:r>
            <w:r w:rsidRPr="00623E98">
              <w:rPr>
                <w:lang w:eastAsia="en-US"/>
              </w:rPr>
              <w:t xml:space="preserve"> должны быть зарегистрированы в Российской Федерации;</w:t>
            </w:r>
          </w:p>
          <w:p w:rsidR="00F466B8" w:rsidRPr="00623E98" w:rsidRDefault="00F466B8" w:rsidP="00F466B8">
            <w:pPr>
              <w:shd w:val="clear" w:color="auto" w:fill="FFFFFF"/>
              <w:autoSpaceDE/>
              <w:autoSpaceDN/>
              <w:spacing w:before="60" w:after="60"/>
              <w:jc w:val="both"/>
              <w:rPr>
                <w:lang w:eastAsia="en-US"/>
              </w:rPr>
            </w:pPr>
            <w:r w:rsidRPr="00623E98">
              <w:rPr>
                <w:lang w:eastAsia="en-US"/>
              </w:rPr>
              <w:t xml:space="preserve">22.2.2. акциям иностранных акционерных обществ, </w:t>
            </w:r>
            <w:r w:rsidRPr="00623E98">
              <w:t>иностранным депозитарным распискам,</w:t>
            </w:r>
            <w:r w:rsidRPr="00623E98">
              <w:rPr>
                <w:lang w:eastAsia="en-US"/>
              </w:rPr>
              <w:t xml:space="preserve">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w:t>
            </w:r>
            <w:proofErr w:type="spellStart"/>
            <w:r w:rsidRPr="00623E98">
              <w:rPr>
                <w:lang w:eastAsia="en-US"/>
              </w:rPr>
              <w:t>Теркс</w:t>
            </w:r>
            <w:proofErr w:type="spellEnd"/>
            <w:r w:rsidRPr="00623E98">
              <w:rPr>
                <w:lang w:eastAsia="en-US"/>
              </w:rPr>
              <w:t xml:space="preserve"> и </w:t>
            </w:r>
            <w:proofErr w:type="spellStart"/>
            <w:r w:rsidRPr="00623E98">
              <w:rPr>
                <w:lang w:eastAsia="en-US"/>
              </w:rPr>
              <w:t>Кайкос</w:t>
            </w:r>
            <w:proofErr w:type="spellEnd"/>
            <w:r w:rsidRPr="00623E98">
              <w:rPr>
                <w:lang w:eastAsia="en-US"/>
              </w:rPr>
              <w:t>, Остров Мэн, Гернси, Джерси), Китайская Народная Республика (включая специальный административный район Гонконг);</w:t>
            </w:r>
          </w:p>
          <w:p w:rsidR="00F466B8" w:rsidRPr="00623E98" w:rsidRDefault="00F466B8" w:rsidP="00F466B8">
            <w:pPr>
              <w:shd w:val="clear" w:color="auto" w:fill="FFFFFF"/>
              <w:autoSpaceDE/>
              <w:autoSpaceDN/>
              <w:spacing w:before="60" w:after="60"/>
              <w:jc w:val="both"/>
            </w:pPr>
            <w:r w:rsidRPr="00623E98">
              <w:t>22.2.3.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623E98">
              <w:rPr>
                <w:i/>
              </w:rPr>
              <w:t>далее - иностранные государства</w:t>
            </w:r>
            <w:r w:rsidRPr="00623E98">
              <w:t>).</w:t>
            </w:r>
          </w:p>
          <w:p w:rsidR="00F466B8" w:rsidRPr="00623E98" w:rsidRDefault="00F466B8" w:rsidP="00F466B8">
            <w:pPr>
              <w:autoSpaceDE/>
              <w:autoSpaceDN/>
              <w:ind w:firstLine="567"/>
            </w:pPr>
            <w:r w:rsidRPr="00623E98">
              <w:t>22.3. Имущество, составляющее фонд, может быть инвестировано в облигации, эмитентами которых являются:</w:t>
            </w:r>
          </w:p>
          <w:p w:rsidR="00F466B8" w:rsidRPr="00623E98" w:rsidRDefault="00F466B8" w:rsidP="00F466B8">
            <w:pPr>
              <w:autoSpaceDE/>
              <w:autoSpaceDN/>
              <w:ind w:firstLine="567"/>
            </w:pPr>
            <w:r w:rsidRPr="00623E98">
              <w:t>22.3.1. российские органы государственной власти;</w:t>
            </w:r>
          </w:p>
          <w:p w:rsidR="00F466B8" w:rsidRPr="00623E98" w:rsidRDefault="00F466B8" w:rsidP="00F466B8">
            <w:pPr>
              <w:autoSpaceDE/>
              <w:autoSpaceDN/>
              <w:ind w:firstLine="567"/>
            </w:pPr>
            <w:r w:rsidRPr="00623E98">
              <w:t>22.3.2. иностранные органы государственной власти;</w:t>
            </w:r>
          </w:p>
          <w:p w:rsidR="00F466B8" w:rsidRPr="00623E98" w:rsidRDefault="00F466B8" w:rsidP="00F466B8">
            <w:pPr>
              <w:autoSpaceDE/>
              <w:autoSpaceDN/>
              <w:ind w:firstLine="567"/>
            </w:pPr>
            <w:r w:rsidRPr="00623E98">
              <w:t>22.3.3. российские органы местного самоуправления;</w:t>
            </w:r>
          </w:p>
          <w:p w:rsidR="00F466B8" w:rsidRPr="00623E98" w:rsidRDefault="00F466B8" w:rsidP="00F466B8">
            <w:pPr>
              <w:autoSpaceDE/>
              <w:autoSpaceDN/>
              <w:ind w:firstLine="567"/>
            </w:pPr>
            <w:r w:rsidRPr="00623E98">
              <w:lastRenderedPageBreak/>
              <w:t>22.3.4. иностранные органы местного самоуправления;</w:t>
            </w:r>
          </w:p>
          <w:p w:rsidR="00F466B8" w:rsidRPr="00623E98" w:rsidRDefault="00F466B8" w:rsidP="00F466B8">
            <w:pPr>
              <w:autoSpaceDE/>
              <w:autoSpaceDN/>
              <w:ind w:firstLine="567"/>
            </w:pPr>
            <w:r w:rsidRPr="00623E98">
              <w:t>22.3.5. международные финансовые организации;</w:t>
            </w:r>
          </w:p>
          <w:p w:rsidR="00F466B8" w:rsidRPr="00623E98" w:rsidRDefault="00F466B8" w:rsidP="00F466B8">
            <w:pPr>
              <w:autoSpaceDE/>
              <w:autoSpaceDN/>
              <w:ind w:firstLine="567"/>
            </w:pPr>
            <w:r w:rsidRPr="00623E98">
              <w:t>22.3.6. российские юридические лица;</w:t>
            </w:r>
          </w:p>
          <w:p w:rsidR="00F466B8" w:rsidRPr="00623E98" w:rsidRDefault="00F466B8" w:rsidP="00F466B8">
            <w:pPr>
              <w:autoSpaceDE/>
              <w:autoSpaceDN/>
              <w:ind w:firstLine="567"/>
            </w:pPr>
            <w:r w:rsidRPr="00623E98">
              <w:t>22.3.7. иностранные юридические лица.</w:t>
            </w:r>
          </w:p>
          <w:p w:rsidR="00F466B8" w:rsidRPr="00623E98" w:rsidRDefault="00F466B8" w:rsidP="00F466B8">
            <w:pPr>
              <w:shd w:val="clear" w:color="auto" w:fill="FFFFFF"/>
              <w:tabs>
                <w:tab w:val="left" w:pos="709"/>
              </w:tabs>
              <w:autoSpaceDE/>
              <w:autoSpaceDN/>
              <w:spacing w:after="120"/>
              <w:ind w:firstLine="270"/>
              <w:jc w:val="both"/>
            </w:pPr>
            <w:r w:rsidRPr="00623E98">
              <w:rPr>
                <w:lang w:eastAsia="en-US"/>
              </w:rPr>
              <w:t xml:space="preserve">22.4. </w:t>
            </w:r>
            <w:r w:rsidRPr="00623E98">
              <w:t>В состав активов фонда могут входить ценные бумаги и производные финансовые инструменты (фьючерсные и опционные договоры (контракты)),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22.2.3. настоящих Правил, и включенных в перечень иностранных бирж предусмотренный пунктом 4 статьи 51.1 Федерального закона от 22 апреля 1996 года № 39-ФЗ «О рынке ценных бумаг».</w:t>
            </w:r>
          </w:p>
          <w:p w:rsidR="00F466B8" w:rsidRPr="00623E98" w:rsidRDefault="00F466B8" w:rsidP="00F466B8">
            <w:pPr>
              <w:ind w:firstLine="567"/>
              <w:jc w:val="both"/>
            </w:pPr>
            <w:r w:rsidRPr="00623E98">
              <w:t>Требование настоящего подпункта не распространяется на государственные ценные бумаги Российской Федерации и иностранных государств.</w:t>
            </w:r>
          </w:p>
          <w:p w:rsidR="00F466B8" w:rsidRPr="00623E98" w:rsidRDefault="00F466B8" w:rsidP="00F466B8">
            <w:pPr>
              <w:shd w:val="clear" w:color="auto" w:fill="FFFFFF"/>
              <w:tabs>
                <w:tab w:val="left" w:pos="709"/>
              </w:tabs>
              <w:autoSpaceDE/>
              <w:autoSpaceDN/>
              <w:spacing w:after="120"/>
              <w:ind w:firstLine="270"/>
              <w:rPr>
                <w:lang w:eastAsia="en-US"/>
              </w:rPr>
            </w:pPr>
            <w:r w:rsidRPr="00327342">
              <w:rPr>
                <w:lang w:eastAsia="en-US"/>
              </w:rPr>
              <w:t>22.5. В состав активов фонда могут входить:</w:t>
            </w:r>
          </w:p>
          <w:p w:rsidR="00F466B8" w:rsidRPr="00623E98" w:rsidRDefault="00F466B8" w:rsidP="00F466B8">
            <w:pPr>
              <w:shd w:val="clear" w:color="auto" w:fill="FFFFFF"/>
              <w:tabs>
                <w:tab w:val="left" w:pos="709"/>
              </w:tabs>
              <w:autoSpaceDE/>
              <w:autoSpaceDN/>
              <w:spacing w:after="120"/>
              <w:ind w:firstLine="270"/>
              <w:jc w:val="both"/>
              <w:rPr>
                <w:lang w:eastAsia="en-US"/>
              </w:rPr>
            </w:pPr>
            <w:r w:rsidRPr="00623E98">
              <w:rPr>
                <w:lang w:eastAsia="en-US"/>
              </w:rPr>
              <w:t>22.5.1.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rsidR="00F466B8" w:rsidRPr="00623E98" w:rsidRDefault="00F466B8" w:rsidP="00F466B8">
            <w:pPr>
              <w:shd w:val="clear" w:color="auto" w:fill="FFFFFF"/>
              <w:tabs>
                <w:tab w:val="left" w:pos="709"/>
              </w:tabs>
              <w:autoSpaceDE/>
              <w:autoSpaceDN/>
              <w:spacing w:after="120"/>
              <w:ind w:firstLine="270"/>
              <w:jc w:val="both"/>
              <w:rPr>
                <w:lang w:eastAsia="en-US"/>
              </w:rPr>
            </w:pPr>
            <w:r w:rsidRPr="00623E98">
              <w:rPr>
                <w:lang w:eastAsia="en-US"/>
              </w:rPr>
              <w:t>22.5.2.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F466B8" w:rsidRPr="00623E98" w:rsidRDefault="00F466B8" w:rsidP="00F466B8">
            <w:pPr>
              <w:shd w:val="clear" w:color="auto" w:fill="FFFFFF"/>
              <w:tabs>
                <w:tab w:val="left" w:pos="709"/>
              </w:tabs>
              <w:autoSpaceDE/>
              <w:autoSpaceDN/>
              <w:spacing w:after="120"/>
              <w:ind w:firstLine="270"/>
              <w:jc w:val="both"/>
              <w:rPr>
                <w:lang w:eastAsia="en-US"/>
              </w:rPr>
            </w:pPr>
            <w:r w:rsidRPr="00623E98">
              <w:rPr>
                <w:lang w:eastAsia="en-US"/>
              </w:rPr>
              <w:t xml:space="preserve">22.6.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623E98">
              <w:rPr>
                <w:i/>
                <w:lang w:eastAsia="en-US"/>
              </w:rPr>
              <w:t>(далее – ликвидный инструмент)</w:t>
            </w:r>
            <w:r w:rsidRPr="00623E98">
              <w:rPr>
                <w:lang w:eastAsia="en-US"/>
              </w:rPr>
              <w:t xml:space="preserve"> в настоящих Правилах понимаются следующие инструменты:</w:t>
            </w:r>
          </w:p>
          <w:p w:rsidR="00F466B8" w:rsidRPr="00623E98" w:rsidRDefault="00F466B8" w:rsidP="00F466B8">
            <w:pPr>
              <w:shd w:val="clear" w:color="auto" w:fill="FFFFFF"/>
              <w:tabs>
                <w:tab w:val="left" w:pos="709"/>
              </w:tabs>
              <w:autoSpaceDE/>
              <w:autoSpaceDN/>
              <w:spacing w:after="120"/>
              <w:ind w:firstLine="270"/>
              <w:rPr>
                <w:lang w:eastAsia="en-US"/>
              </w:rPr>
            </w:pPr>
            <w:r w:rsidRPr="00623E98">
              <w:rPr>
                <w:lang w:eastAsia="en-US"/>
              </w:rPr>
              <w:t>а) инструменты денежного рынка со сроком до погашения (закрытия) менее 3 (Трех) месяцев;</w:t>
            </w:r>
          </w:p>
          <w:p w:rsidR="00F466B8" w:rsidRPr="00623E98" w:rsidRDefault="00F466B8" w:rsidP="00F466B8">
            <w:pPr>
              <w:autoSpaceDE/>
              <w:autoSpaceDN/>
              <w:ind w:firstLine="270"/>
              <w:jc w:val="both"/>
              <w:rPr>
                <w:color w:val="000000" w:themeColor="text1"/>
              </w:rPr>
            </w:pPr>
            <w:r w:rsidRPr="00623E98">
              <w:rPr>
                <w:color w:val="000000" w:themeColor="text1"/>
                <w:lang w:eastAsia="en-US"/>
              </w:rPr>
              <w:t>б) права</w:t>
            </w:r>
            <w:r w:rsidRPr="00623E98">
              <w:rPr>
                <w:color w:val="000000" w:themeColor="text1"/>
              </w:rPr>
              <w:t xml:space="preserve"> требования к юридическому лицу, возникшие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rsidR="00F466B8" w:rsidRPr="00623E98" w:rsidRDefault="00F466B8" w:rsidP="00F466B8">
            <w:pPr>
              <w:ind w:firstLine="567"/>
              <w:jc w:val="both"/>
            </w:pPr>
            <w:r w:rsidRPr="00623E98">
              <w:t xml:space="preserve">в)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w:t>
            </w:r>
            <w:r w:rsidRPr="00623E98">
              <w:lastRenderedPageBreak/>
              <w:t>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rsidR="00F466B8" w:rsidRPr="00623E98" w:rsidRDefault="00F466B8" w:rsidP="00F466B8">
            <w:pPr>
              <w:ind w:firstLine="567"/>
              <w:jc w:val="both"/>
            </w:pPr>
            <w:r w:rsidRPr="00623E98">
              <w:t>г) ценные бумаги, входящие в расчет следующих фондовых индексов:</w:t>
            </w:r>
          </w:p>
          <w:p w:rsidR="00F466B8" w:rsidRPr="00623E98" w:rsidRDefault="00F466B8" w:rsidP="00F466B8">
            <w:pPr>
              <w:ind w:firstLine="567"/>
              <w:jc w:val="both"/>
            </w:pPr>
            <w:r w:rsidRPr="00623E98">
              <w:t>- S&amp;P/ASX 200 (Австралия),</w:t>
            </w:r>
          </w:p>
          <w:p w:rsidR="00F466B8" w:rsidRPr="00623E98" w:rsidRDefault="00F466B8" w:rsidP="00F466B8">
            <w:pPr>
              <w:ind w:firstLine="567"/>
              <w:jc w:val="both"/>
            </w:pPr>
            <w:r w:rsidRPr="00623E98">
              <w:t>- ATX (Австрия),</w:t>
            </w:r>
          </w:p>
          <w:p w:rsidR="00F466B8" w:rsidRPr="00623E98" w:rsidRDefault="00F466B8" w:rsidP="00F466B8">
            <w:pPr>
              <w:ind w:firstLine="567"/>
              <w:jc w:val="both"/>
            </w:pPr>
            <w:r w:rsidRPr="00623E98">
              <w:t>- BEL20 (Бельгия),</w:t>
            </w:r>
          </w:p>
          <w:p w:rsidR="00F466B8" w:rsidRPr="00623E98" w:rsidRDefault="00F466B8" w:rsidP="00F466B8">
            <w:pPr>
              <w:ind w:firstLine="567"/>
              <w:jc w:val="both"/>
            </w:pPr>
            <w:r w:rsidRPr="00623E98">
              <w:t xml:space="preserve">- </w:t>
            </w:r>
            <w:proofErr w:type="spellStart"/>
            <w:r w:rsidRPr="00623E98">
              <w:t>Bovespa</w:t>
            </w:r>
            <w:proofErr w:type="spellEnd"/>
            <w:r w:rsidRPr="00623E98">
              <w:t xml:space="preserve"> </w:t>
            </w:r>
            <w:proofErr w:type="spellStart"/>
            <w:r w:rsidRPr="00623E98">
              <w:t>Index</w:t>
            </w:r>
            <w:proofErr w:type="spellEnd"/>
            <w:r w:rsidRPr="00623E98">
              <w:t xml:space="preserve"> (Бразилия),</w:t>
            </w:r>
          </w:p>
          <w:p w:rsidR="00F466B8" w:rsidRPr="00623E98" w:rsidRDefault="00F466B8" w:rsidP="00F466B8">
            <w:pPr>
              <w:ind w:firstLine="567"/>
              <w:jc w:val="both"/>
            </w:pPr>
            <w:r w:rsidRPr="00623E98">
              <w:t xml:space="preserve">- </w:t>
            </w:r>
            <w:r w:rsidRPr="00623E98">
              <w:rPr>
                <w:lang w:val="en-US"/>
              </w:rPr>
              <w:t>BUX</w:t>
            </w:r>
            <w:r w:rsidRPr="00623E98" w:rsidDel="005518F4">
              <w:t xml:space="preserve"> </w:t>
            </w:r>
            <w:r w:rsidRPr="00623E98">
              <w:t>(Венгрия),</w:t>
            </w:r>
          </w:p>
          <w:p w:rsidR="00F466B8" w:rsidRPr="00623E98" w:rsidRDefault="00F466B8" w:rsidP="00F466B8">
            <w:pPr>
              <w:ind w:firstLine="567"/>
              <w:jc w:val="both"/>
            </w:pPr>
            <w:r w:rsidRPr="00623E98">
              <w:t>- FTSE 100 (Великобритания),</w:t>
            </w:r>
          </w:p>
          <w:p w:rsidR="00F466B8" w:rsidRPr="00623E98" w:rsidRDefault="00F466B8" w:rsidP="00F466B8">
            <w:pPr>
              <w:ind w:firstLine="567"/>
              <w:jc w:val="both"/>
            </w:pPr>
            <w:r w:rsidRPr="00623E98">
              <w:t xml:space="preserve">- </w:t>
            </w:r>
            <w:proofErr w:type="spellStart"/>
            <w:r w:rsidRPr="00623E98">
              <w:t>Hang</w:t>
            </w:r>
            <w:proofErr w:type="spellEnd"/>
            <w:r w:rsidRPr="00623E98">
              <w:t xml:space="preserve"> </w:t>
            </w:r>
            <w:proofErr w:type="spellStart"/>
            <w:r w:rsidRPr="00623E98">
              <w:t>Seng</w:t>
            </w:r>
            <w:proofErr w:type="spellEnd"/>
            <w:r w:rsidRPr="00623E98">
              <w:t xml:space="preserve"> (Гонконг),</w:t>
            </w:r>
          </w:p>
          <w:p w:rsidR="00F466B8" w:rsidRPr="00623E98" w:rsidRDefault="00F466B8" w:rsidP="00F466B8">
            <w:pPr>
              <w:ind w:firstLine="567"/>
              <w:jc w:val="both"/>
            </w:pPr>
            <w:r w:rsidRPr="00623E98">
              <w:t>- DAX (Германия),</w:t>
            </w:r>
          </w:p>
          <w:p w:rsidR="00F466B8" w:rsidRPr="00623E98" w:rsidRDefault="00F466B8" w:rsidP="00F466B8">
            <w:pPr>
              <w:ind w:firstLine="567"/>
              <w:jc w:val="both"/>
            </w:pPr>
            <w:r w:rsidRPr="00623E98">
              <w:t xml:space="preserve">- OMX </w:t>
            </w:r>
            <w:proofErr w:type="spellStart"/>
            <w:r w:rsidRPr="00623E98">
              <w:t>Copenhagen</w:t>
            </w:r>
            <w:proofErr w:type="spellEnd"/>
            <w:r w:rsidRPr="00623E98">
              <w:t xml:space="preserve"> 20 (Дания),</w:t>
            </w:r>
          </w:p>
          <w:p w:rsidR="00F466B8" w:rsidRPr="00623E98" w:rsidRDefault="00F466B8" w:rsidP="00F466B8">
            <w:pPr>
              <w:ind w:firstLine="567"/>
              <w:jc w:val="both"/>
              <w:rPr>
                <w:lang w:val="en-US"/>
              </w:rPr>
            </w:pPr>
            <w:r w:rsidRPr="00623E98">
              <w:rPr>
                <w:lang w:val="en-US"/>
              </w:rPr>
              <w:t>- TA-35 (</w:t>
            </w:r>
            <w:r w:rsidRPr="00623E98">
              <w:t>Израиль</w:t>
            </w:r>
            <w:r w:rsidRPr="00623E98">
              <w:rPr>
                <w:lang w:val="en-US"/>
              </w:rPr>
              <w:t>),</w:t>
            </w:r>
          </w:p>
          <w:p w:rsidR="00F466B8" w:rsidRPr="00623E98" w:rsidRDefault="00F466B8" w:rsidP="00F466B8">
            <w:pPr>
              <w:ind w:firstLine="567"/>
              <w:jc w:val="both"/>
              <w:rPr>
                <w:lang w:val="en-US"/>
              </w:rPr>
            </w:pPr>
            <w:r w:rsidRPr="00623E98">
              <w:rPr>
                <w:lang w:val="en-US"/>
              </w:rPr>
              <w:t>- S&amp;P BSE SENSEX (</w:t>
            </w:r>
            <w:r w:rsidRPr="00623E98">
              <w:t>Индия</w:t>
            </w:r>
            <w:r w:rsidRPr="00623E98">
              <w:rPr>
                <w:lang w:val="en-US"/>
              </w:rPr>
              <w:t>),</w:t>
            </w:r>
          </w:p>
          <w:p w:rsidR="00F466B8" w:rsidRPr="00623E98" w:rsidRDefault="00F466B8" w:rsidP="00F466B8">
            <w:pPr>
              <w:ind w:firstLine="567"/>
              <w:jc w:val="both"/>
              <w:rPr>
                <w:lang w:val="en-US"/>
              </w:rPr>
            </w:pPr>
            <w:r w:rsidRPr="00623E98">
              <w:rPr>
                <w:lang w:val="en-US"/>
              </w:rPr>
              <w:t>- ISEQ 20 (</w:t>
            </w:r>
            <w:r w:rsidRPr="00623E98">
              <w:t>Ирландия</w:t>
            </w:r>
            <w:r w:rsidRPr="00623E98">
              <w:rPr>
                <w:lang w:val="en-US"/>
              </w:rPr>
              <w:t>),</w:t>
            </w:r>
          </w:p>
          <w:p w:rsidR="00F466B8" w:rsidRPr="00623E98" w:rsidRDefault="00F466B8" w:rsidP="00F466B8">
            <w:pPr>
              <w:ind w:firstLine="567"/>
              <w:jc w:val="both"/>
              <w:rPr>
                <w:lang w:val="en-US"/>
              </w:rPr>
            </w:pPr>
            <w:r w:rsidRPr="00623E98">
              <w:rPr>
                <w:lang w:val="en-US"/>
              </w:rPr>
              <w:t>- OMX Iceland 8 (</w:t>
            </w:r>
            <w:r w:rsidRPr="00623E98">
              <w:t>Исландия</w:t>
            </w:r>
            <w:r w:rsidRPr="00623E98">
              <w:rPr>
                <w:lang w:val="en-US"/>
              </w:rPr>
              <w:t>),</w:t>
            </w:r>
          </w:p>
          <w:p w:rsidR="00F466B8" w:rsidRPr="00623E98" w:rsidRDefault="00F466B8" w:rsidP="00F466B8">
            <w:pPr>
              <w:ind w:firstLine="567"/>
              <w:jc w:val="both"/>
              <w:rPr>
                <w:lang w:val="en-US"/>
              </w:rPr>
            </w:pPr>
            <w:r w:rsidRPr="00623E98">
              <w:rPr>
                <w:lang w:val="en-US"/>
              </w:rPr>
              <w:t>- IBEX 35 (</w:t>
            </w:r>
            <w:r w:rsidRPr="00623E98">
              <w:t>Испания</w:t>
            </w:r>
            <w:r w:rsidRPr="00623E98">
              <w:rPr>
                <w:lang w:val="en-US"/>
              </w:rPr>
              <w:t>),</w:t>
            </w:r>
          </w:p>
          <w:p w:rsidR="00F466B8" w:rsidRPr="00623E98" w:rsidRDefault="00F466B8" w:rsidP="00F466B8">
            <w:pPr>
              <w:ind w:firstLine="567"/>
              <w:jc w:val="both"/>
              <w:rPr>
                <w:lang w:val="en-US"/>
              </w:rPr>
            </w:pPr>
            <w:r w:rsidRPr="00623E98">
              <w:rPr>
                <w:lang w:val="en-US"/>
              </w:rPr>
              <w:t>- FTSE MIB (</w:t>
            </w:r>
            <w:r w:rsidRPr="00623E98">
              <w:t>Италия</w:t>
            </w:r>
            <w:r w:rsidRPr="00623E98">
              <w:rPr>
                <w:lang w:val="en-US"/>
              </w:rPr>
              <w:t>),</w:t>
            </w:r>
          </w:p>
          <w:p w:rsidR="00F466B8" w:rsidRPr="00623E98" w:rsidRDefault="00F466B8" w:rsidP="00F466B8">
            <w:pPr>
              <w:ind w:firstLine="567"/>
              <w:jc w:val="both"/>
              <w:rPr>
                <w:lang w:val="en-US"/>
              </w:rPr>
            </w:pPr>
            <w:r w:rsidRPr="00623E98">
              <w:rPr>
                <w:lang w:val="en-US"/>
              </w:rPr>
              <w:t>- S&amp;P/TSX Composite (</w:t>
            </w:r>
            <w:r w:rsidRPr="00623E98">
              <w:t>Канада</w:t>
            </w:r>
            <w:r w:rsidRPr="00623E98">
              <w:rPr>
                <w:lang w:val="en-US"/>
              </w:rPr>
              <w:t>),</w:t>
            </w:r>
          </w:p>
          <w:p w:rsidR="00F466B8" w:rsidRPr="00623E98" w:rsidRDefault="00F466B8" w:rsidP="00F466B8">
            <w:pPr>
              <w:ind w:firstLine="567"/>
              <w:jc w:val="both"/>
              <w:rPr>
                <w:lang w:val="en-US"/>
              </w:rPr>
            </w:pPr>
            <w:r w:rsidRPr="00623E98">
              <w:rPr>
                <w:lang w:val="en-US"/>
              </w:rPr>
              <w:t>- Shanghai SE Composite (</w:t>
            </w:r>
            <w:r w:rsidRPr="00623E98">
              <w:t>Китай</w:t>
            </w:r>
            <w:r w:rsidRPr="00623E98">
              <w:rPr>
                <w:lang w:val="en-US"/>
              </w:rPr>
              <w:t>),</w:t>
            </w:r>
          </w:p>
          <w:p w:rsidR="00F466B8" w:rsidRPr="00623E98" w:rsidRDefault="00F466B8" w:rsidP="00F466B8">
            <w:pPr>
              <w:ind w:firstLine="567"/>
              <w:jc w:val="both"/>
              <w:rPr>
                <w:lang w:val="en-US"/>
              </w:rPr>
            </w:pPr>
            <w:r w:rsidRPr="00623E98">
              <w:rPr>
                <w:lang w:val="en-US"/>
              </w:rPr>
              <w:t xml:space="preserve">- </w:t>
            </w:r>
            <w:proofErr w:type="spellStart"/>
            <w:r w:rsidRPr="00623E98">
              <w:rPr>
                <w:lang w:val="en-US"/>
              </w:rPr>
              <w:t>LuxX</w:t>
            </w:r>
            <w:proofErr w:type="spellEnd"/>
            <w:r w:rsidRPr="00623E98">
              <w:rPr>
                <w:lang w:val="en-US"/>
              </w:rPr>
              <w:t xml:space="preserve"> (</w:t>
            </w:r>
            <w:r w:rsidRPr="00623E98">
              <w:t>Люксембург</w:t>
            </w:r>
            <w:r w:rsidRPr="00623E98">
              <w:rPr>
                <w:lang w:val="en-US"/>
              </w:rPr>
              <w:t>),</w:t>
            </w:r>
          </w:p>
          <w:p w:rsidR="00F466B8" w:rsidRPr="00623E98" w:rsidRDefault="00F466B8" w:rsidP="00F466B8">
            <w:pPr>
              <w:ind w:firstLine="567"/>
              <w:jc w:val="both"/>
              <w:rPr>
                <w:lang w:val="en-US"/>
              </w:rPr>
            </w:pPr>
            <w:r w:rsidRPr="00623E98">
              <w:rPr>
                <w:lang w:val="en-US"/>
              </w:rPr>
              <w:t>- IPC (</w:t>
            </w:r>
            <w:r w:rsidRPr="00623E98">
              <w:t>Мексика</w:t>
            </w:r>
            <w:r w:rsidRPr="00623E98">
              <w:rPr>
                <w:lang w:val="en-US"/>
              </w:rPr>
              <w:t>),</w:t>
            </w:r>
          </w:p>
          <w:p w:rsidR="00F466B8" w:rsidRPr="00623E98" w:rsidRDefault="00F466B8" w:rsidP="00F466B8">
            <w:pPr>
              <w:ind w:firstLine="567"/>
              <w:jc w:val="both"/>
              <w:rPr>
                <w:lang w:val="en-US"/>
              </w:rPr>
            </w:pPr>
            <w:r w:rsidRPr="00623E98">
              <w:rPr>
                <w:lang w:val="en-US"/>
              </w:rPr>
              <w:t>- AEX (</w:t>
            </w:r>
            <w:r w:rsidRPr="00623E98">
              <w:t>Нидерланды</w:t>
            </w:r>
            <w:r w:rsidRPr="00623E98">
              <w:rPr>
                <w:lang w:val="en-US"/>
              </w:rPr>
              <w:t>),</w:t>
            </w:r>
          </w:p>
          <w:p w:rsidR="00F466B8" w:rsidRPr="00623E98" w:rsidRDefault="00F466B8" w:rsidP="00F466B8">
            <w:pPr>
              <w:ind w:firstLine="567"/>
              <w:jc w:val="both"/>
              <w:rPr>
                <w:lang w:val="en-US"/>
              </w:rPr>
            </w:pPr>
            <w:r w:rsidRPr="00623E98">
              <w:rPr>
                <w:lang w:val="en-US"/>
              </w:rPr>
              <w:t>- S&amp;P/NZX 50 (</w:t>
            </w:r>
            <w:r w:rsidRPr="00623E98">
              <w:t>Новая</w:t>
            </w:r>
            <w:r w:rsidRPr="00623E98">
              <w:rPr>
                <w:lang w:val="en-US"/>
              </w:rPr>
              <w:t xml:space="preserve"> </w:t>
            </w:r>
            <w:r w:rsidRPr="00623E98">
              <w:t>Зеландия</w:t>
            </w:r>
            <w:r w:rsidRPr="00623E98">
              <w:rPr>
                <w:lang w:val="en-US"/>
              </w:rPr>
              <w:t>),</w:t>
            </w:r>
          </w:p>
          <w:p w:rsidR="00F466B8" w:rsidRPr="00623E98" w:rsidRDefault="00F466B8" w:rsidP="00F466B8">
            <w:pPr>
              <w:ind w:firstLine="567"/>
              <w:jc w:val="both"/>
              <w:rPr>
                <w:lang w:val="en-US"/>
              </w:rPr>
            </w:pPr>
            <w:r w:rsidRPr="00623E98">
              <w:rPr>
                <w:lang w:val="en-US"/>
              </w:rPr>
              <w:t>- OBX (</w:t>
            </w:r>
            <w:r w:rsidRPr="00623E98">
              <w:t>Норвегия</w:t>
            </w:r>
            <w:r w:rsidRPr="00623E98">
              <w:rPr>
                <w:lang w:val="en-US"/>
              </w:rPr>
              <w:t>),</w:t>
            </w:r>
          </w:p>
          <w:p w:rsidR="00F466B8" w:rsidRPr="00623E98" w:rsidRDefault="00F466B8" w:rsidP="00F466B8">
            <w:pPr>
              <w:ind w:firstLine="567"/>
              <w:jc w:val="both"/>
              <w:rPr>
                <w:lang w:val="en-US"/>
              </w:rPr>
            </w:pPr>
            <w:r w:rsidRPr="00623E98">
              <w:rPr>
                <w:lang w:val="en-US"/>
              </w:rPr>
              <w:t>- WIG (</w:t>
            </w:r>
            <w:r w:rsidRPr="00623E98">
              <w:t>Польша</w:t>
            </w:r>
            <w:r w:rsidRPr="00623E98">
              <w:rPr>
                <w:lang w:val="en-US"/>
              </w:rPr>
              <w:t>),</w:t>
            </w:r>
          </w:p>
          <w:p w:rsidR="00F466B8" w:rsidRPr="00623E98" w:rsidRDefault="00F466B8" w:rsidP="00F466B8">
            <w:pPr>
              <w:ind w:firstLine="567"/>
              <w:jc w:val="both"/>
              <w:rPr>
                <w:lang w:val="en-US"/>
              </w:rPr>
            </w:pPr>
            <w:r w:rsidRPr="00623E98">
              <w:rPr>
                <w:lang w:val="en-US"/>
              </w:rPr>
              <w:t>- PSI 20 (</w:t>
            </w:r>
            <w:r w:rsidRPr="00623E98">
              <w:t>Португалия</w:t>
            </w:r>
            <w:r w:rsidRPr="00623E98">
              <w:rPr>
                <w:lang w:val="en-US"/>
              </w:rPr>
              <w:t>),</w:t>
            </w:r>
          </w:p>
          <w:p w:rsidR="00F466B8" w:rsidRPr="00623E98" w:rsidRDefault="00F466B8" w:rsidP="00F466B8">
            <w:pPr>
              <w:ind w:firstLine="567"/>
              <w:jc w:val="both"/>
            </w:pPr>
            <w:r w:rsidRPr="00623E98">
              <w:t xml:space="preserve">- Индекс </w:t>
            </w:r>
            <w:proofErr w:type="spellStart"/>
            <w:r w:rsidRPr="00623E98">
              <w:t>МосБиржи</w:t>
            </w:r>
            <w:proofErr w:type="spellEnd"/>
            <w:r w:rsidRPr="00623E98">
              <w:t xml:space="preserve"> (Россия),</w:t>
            </w:r>
          </w:p>
          <w:p w:rsidR="00F466B8" w:rsidRPr="00623E98" w:rsidRDefault="00F466B8" w:rsidP="00F466B8">
            <w:pPr>
              <w:ind w:firstLine="567"/>
              <w:jc w:val="both"/>
            </w:pPr>
            <w:r w:rsidRPr="00623E98">
              <w:t>- Индекс РТС (Россия),</w:t>
            </w:r>
          </w:p>
          <w:p w:rsidR="00F466B8" w:rsidRPr="00623E98" w:rsidRDefault="00F466B8" w:rsidP="00F466B8">
            <w:pPr>
              <w:ind w:firstLine="567"/>
              <w:jc w:val="both"/>
            </w:pPr>
            <w:r w:rsidRPr="00623E98">
              <w:t>- SAX (Словакия),</w:t>
            </w:r>
          </w:p>
          <w:p w:rsidR="00F466B8" w:rsidRPr="00623E98" w:rsidRDefault="00F466B8" w:rsidP="00F466B8">
            <w:pPr>
              <w:ind w:firstLine="567"/>
              <w:jc w:val="both"/>
            </w:pPr>
            <w:r w:rsidRPr="00623E98">
              <w:t xml:space="preserve">- </w:t>
            </w:r>
            <w:r w:rsidRPr="00623E98">
              <w:rPr>
                <w:lang w:val="en-US"/>
              </w:rPr>
              <w:t>SBI</w:t>
            </w:r>
            <w:r w:rsidRPr="00623E98">
              <w:t xml:space="preserve"> </w:t>
            </w:r>
            <w:r w:rsidRPr="00623E98">
              <w:rPr>
                <w:lang w:val="en-US"/>
              </w:rPr>
              <w:t>TOP</w:t>
            </w:r>
            <w:r w:rsidRPr="00623E98">
              <w:t xml:space="preserve"> (Словения),</w:t>
            </w:r>
          </w:p>
          <w:p w:rsidR="00F466B8" w:rsidRPr="00623E98" w:rsidRDefault="00F466B8" w:rsidP="00F466B8">
            <w:pPr>
              <w:ind w:firstLine="567"/>
              <w:jc w:val="both"/>
              <w:rPr>
                <w:lang w:val="en-US"/>
              </w:rPr>
            </w:pPr>
            <w:r w:rsidRPr="00623E98">
              <w:rPr>
                <w:lang w:val="en-US"/>
              </w:rPr>
              <w:t>- Dow Jones (</w:t>
            </w:r>
            <w:r w:rsidRPr="00623E98">
              <w:t>США</w:t>
            </w:r>
            <w:r w:rsidRPr="00623E98">
              <w:rPr>
                <w:lang w:val="en-US"/>
              </w:rPr>
              <w:t>),</w:t>
            </w:r>
          </w:p>
          <w:p w:rsidR="00F466B8" w:rsidRPr="00623E98" w:rsidRDefault="00F466B8" w:rsidP="00F466B8">
            <w:pPr>
              <w:ind w:firstLine="567"/>
              <w:jc w:val="both"/>
              <w:rPr>
                <w:lang w:val="en-US"/>
              </w:rPr>
            </w:pPr>
            <w:r w:rsidRPr="00623E98">
              <w:rPr>
                <w:lang w:val="en-US"/>
              </w:rPr>
              <w:t>- S&amp;P 500 (</w:t>
            </w:r>
            <w:r w:rsidRPr="00623E98">
              <w:t>США</w:t>
            </w:r>
            <w:r w:rsidRPr="00623E98">
              <w:rPr>
                <w:lang w:val="en-US"/>
              </w:rPr>
              <w:t>),</w:t>
            </w:r>
          </w:p>
          <w:p w:rsidR="00F466B8" w:rsidRPr="00623E98" w:rsidRDefault="00F466B8" w:rsidP="00F466B8">
            <w:pPr>
              <w:ind w:firstLine="567"/>
              <w:jc w:val="both"/>
              <w:rPr>
                <w:lang w:val="en-US"/>
              </w:rPr>
            </w:pPr>
            <w:r w:rsidRPr="00623E98">
              <w:rPr>
                <w:lang w:val="en-US"/>
              </w:rPr>
              <w:t>- BIST 100 (</w:t>
            </w:r>
            <w:r w:rsidRPr="00623E98">
              <w:t>Турция</w:t>
            </w:r>
            <w:r w:rsidRPr="00623E98">
              <w:rPr>
                <w:lang w:val="en-US"/>
              </w:rPr>
              <w:t>),</w:t>
            </w:r>
          </w:p>
          <w:p w:rsidR="00F466B8" w:rsidRPr="00623E98" w:rsidRDefault="00F466B8" w:rsidP="00F466B8">
            <w:pPr>
              <w:ind w:firstLine="567"/>
              <w:jc w:val="both"/>
              <w:rPr>
                <w:lang w:val="en-US"/>
              </w:rPr>
            </w:pPr>
            <w:r w:rsidRPr="00623E98">
              <w:rPr>
                <w:lang w:val="en-US"/>
              </w:rPr>
              <w:t>- OMX Helsinki 25 (</w:t>
            </w:r>
            <w:r w:rsidRPr="00623E98">
              <w:t>Финляндия</w:t>
            </w:r>
            <w:r w:rsidRPr="00623E98">
              <w:rPr>
                <w:lang w:val="en-US"/>
              </w:rPr>
              <w:t>),</w:t>
            </w:r>
          </w:p>
          <w:p w:rsidR="00F466B8" w:rsidRPr="00623E98" w:rsidRDefault="00F466B8" w:rsidP="00F466B8">
            <w:pPr>
              <w:ind w:firstLine="567"/>
              <w:jc w:val="both"/>
            </w:pPr>
            <w:r w:rsidRPr="00623E98">
              <w:t>- CAC 40 (Франция),</w:t>
            </w:r>
          </w:p>
          <w:p w:rsidR="00F466B8" w:rsidRPr="00623E98" w:rsidRDefault="00F466B8" w:rsidP="00F466B8">
            <w:pPr>
              <w:ind w:firstLine="567"/>
              <w:jc w:val="both"/>
            </w:pPr>
            <w:r w:rsidRPr="00623E98">
              <w:t xml:space="preserve">- PX </w:t>
            </w:r>
            <w:proofErr w:type="spellStart"/>
            <w:r w:rsidRPr="00623E98">
              <w:t>Index</w:t>
            </w:r>
            <w:proofErr w:type="spellEnd"/>
            <w:r w:rsidRPr="00623E98">
              <w:t xml:space="preserve"> (Чешская республика),</w:t>
            </w:r>
          </w:p>
          <w:p w:rsidR="00F466B8" w:rsidRPr="00623E98" w:rsidRDefault="00F466B8" w:rsidP="00F466B8">
            <w:pPr>
              <w:ind w:firstLine="567"/>
              <w:jc w:val="both"/>
              <w:rPr>
                <w:lang w:val="en-US"/>
              </w:rPr>
            </w:pPr>
            <w:r w:rsidRPr="00623E98">
              <w:rPr>
                <w:lang w:val="en-US"/>
              </w:rPr>
              <w:t>- S&amp;P/CLX IPSA (</w:t>
            </w:r>
            <w:r w:rsidRPr="00623E98">
              <w:t>Чили</w:t>
            </w:r>
            <w:r w:rsidRPr="00623E98">
              <w:rPr>
                <w:lang w:val="en-US"/>
              </w:rPr>
              <w:t>),</w:t>
            </w:r>
          </w:p>
          <w:p w:rsidR="00F466B8" w:rsidRPr="00623E98" w:rsidRDefault="00F466B8" w:rsidP="00F466B8">
            <w:pPr>
              <w:ind w:firstLine="567"/>
              <w:jc w:val="both"/>
              <w:rPr>
                <w:lang w:val="en-US"/>
              </w:rPr>
            </w:pPr>
            <w:r w:rsidRPr="00623E98">
              <w:rPr>
                <w:lang w:val="en-US"/>
              </w:rPr>
              <w:t>- SMI (</w:t>
            </w:r>
            <w:r w:rsidRPr="00623E98">
              <w:t>Швейцария</w:t>
            </w:r>
            <w:r w:rsidRPr="00623E98">
              <w:rPr>
                <w:lang w:val="en-US"/>
              </w:rPr>
              <w:t>),</w:t>
            </w:r>
          </w:p>
          <w:p w:rsidR="00F466B8" w:rsidRPr="00623E98" w:rsidRDefault="00F466B8" w:rsidP="00F466B8">
            <w:pPr>
              <w:ind w:firstLine="567"/>
              <w:jc w:val="both"/>
              <w:rPr>
                <w:lang w:val="en-US"/>
              </w:rPr>
            </w:pPr>
            <w:r w:rsidRPr="00623E98">
              <w:rPr>
                <w:lang w:val="en-US"/>
              </w:rPr>
              <w:t>- OMX Stockholm 30  (</w:t>
            </w:r>
            <w:r w:rsidRPr="00623E98">
              <w:t>Швеция</w:t>
            </w:r>
            <w:r w:rsidRPr="00623E98">
              <w:rPr>
                <w:lang w:val="en-US"/>
              </w:rPr>
              <w:t>),</w:t>
            </w:r>
          </w:p>
          <w:p w:rsidR="00F466B8" w:rsidRPr="00623E98" w:rsidRDefault="00F466B8" w:rsidP="00F466B8">
            <w:pPr>
              <w:ind w:firstLine="567"/>
              <w:jc w:val="both"/>
              <w:rPr>
                <w:lang w:val="en-US"/>
              </w:rPr>
            </w:pPr>
            <w:r w:rsidRPr="00623E98">
              <w:rPr>
                <w:lang w:val="en-US"/>
              </w:rPr>
              <w:t>- OMX TALLINN_GI (</w:t>
            </w:r>
            <w:r w:rsidRPr="00623E98">
              <w:t>Эстония</w:t>
            </w:r>
            <w:r w:rsidRPr="00623E98">
              <w:rPr>
                <w:lang w:val="en-US"/>
              </w:rPr>
              <w:t>),</w:t>
            </w:r>
          </w:p>
          <w:p w:rsidR="00F466B8" w:rsidRPr="00623E98" w:rsidRDefault="00F466B8" w:rsidP="00F466B8">
            <w:pPr>
              <w:ind w:firstLine="567"/>
              <w:jc w:val="both"/>
              <w:rPr>
                <w:lang w:val="en-US"/>
              </w:rPr>
            </w:pPr>
            <w:r w:rsidRPr="00623E98">
              <w:rPr>
                <w:lang w:val="en-US"/>
              </w:rPr>
              <w:t>- FTSE/JSE Top40 (</w:t>
            </w:r>
            <w:r w:rsidRPr="00623E98">
              <w:t>ЮАР</w:t>
            </w:r>
            <w:r w:rsidRPr="00623E98">
              <w:rPr>
                <w:lang w:val="en-US"/>
              </w:rPr>
              <w:t>),</w:t>
            </w:r>
          </w:p>
          <w:p w:rsidR="00F466B8" w:rsidRPr="00623E98" w:rsidRDefault="00F466B8" w:rsidP="00F466B8">
            <w:pPr>
              <w:ind w:firstLine="567"/>
              <w:jc w:val="both"/>
              <w:rPr>
                <w:lang w:val="en-US"/>
              </w:rPr>
            </w:pPr>
            <w:r w:rsidRPr="00623E98">
              <w:rPr>
                <w:lang w:val="en-US"/>
              </w:rPr>
              <w:t>- KOSPI (</w:t>
            </w:r>
            <w:r w:rsidRPr="00623E98">
              <w:t>Южная</w:t>
            </w:r>
            <w:r w:rsidRPr="00623E98">
              <w:rPr>
                <w:lang w:val="en-US"/>
              </w:rPr>
              <w:t xml:space="preserve"> </w:t>
            </w:r>
            <w:r w:rsidRPr="00623E98">
              <w:t>Корея</w:t>
            </w:r>
            <w:r w:rsidRPr="00623E98">
              <w:rPr>
                <w:lang w:val="en-US"/>
              </w:rPr>
              <w:t>),</w:t>
            </w:r>
          </w:p>
          <w:p w:rsidR="00F466B8" w:rsidRPr="00623E98" w:rsidRDefault="00F466B8" w:rsidP="00F466B8">
            <w:pPr>
              <w:ind w:firstLine="567"/>
              <w:jc w:val="both"/>
              <w:rPr>
                <w:lang w:val="en-US"/>
              </w:rPr>
            </w:pPr>
            <w:r w:rsidRPr="00623E98">
              <w:rPr>
                <w:lang w:val="en-US"/>
              </w:rPr>
              <w:t>- Nikkei 225 (</w:t>
            </w:r>
            <w:r w:rsidRPr="00623E98">
              <w:t>Япония</w:t>
            </w:r>
            <w:r w:rsidRPr="00623E98">
              <w:rPr>
                <w:lang w:val="en-US"/>
              </w:rPr>
              <w:t>),</w:t>
            </w:r>
          </w:p>
          <w:p w:rsidR="00F466B8" w:rsidRPr="00623E98" w:rsidRDefault="00F466B8" w:rsidP="00F466B8">
            <w:pPr>
              <w:ind w:firstLine="567"/>
              <w:jc w:val="both"/>
            </w:pPr>
            <w:r w:rsidRPr="00623E98">
              <w:rPr>
                <w:lang w:val="en-US"/>
              </w:rPr>
              <w:t xml:space="preserve"> </w:t>
            </w:r>
            <w:r w:rsidRPr="00623E98">
              <w:t xml:space="preserve">- Индекс </w:t>
            </w:r>
            <w:proofErr w:type="spellStart"/>
            <w:r w:rsidRPr="00623E98">
              <w:t>МосБиржи</w:t>
            </w:r>
            <w:proofErr w:type="spellEnd"/>
            <w:r w:rsidRPr="00623E98">
              <w:t xml:space="preserve"> голубых фишек (Россия).</w:t>
            </w:r>
          </w:p>
          <w:p w:rsidR="00F466B8" w:rsidRPr="00623E98" w:rsidRDefault="00F466B8" w:rsidP="00F466B8">
            <w:pPr>
              <w:autoSpaceDE/>
              <w:autoSpaceDN/>
              <w:ind w:firstLine="270"/>
              <w:jc w:val="both"/>
            </w:pPr>
          </w:p>
          <w:p w:rsidR="00F466B8" w:rsidRPr="00623E98" w:rsidRDefault="00F466B8" w:rsidP="00F466B8">
            <w:pPr>
              <w:ind w:firstLine="567"/>
              <w:jc w:val="both"/>
            </w:pPr>
            <w:r w:rsidRPr="00623E98">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F466B8" w:rsidRPr="00623E98" w:rsidRDefault="00F466B8" w:rsidP="00F466B8">
            <w:pPr>
              <w:ind w:firstLine="567"/>
              <w:jc w:val="both"/>
            </w:pPr>
            <w:r w:rsidRPr="00623E98">
              <w:t xml:space="preserve">Для целей настоящего пункта используется рейтинг долгосрочной кредитоспособности в той же валюте </w:t>
            </w:r>
            <w:r w:rsidRPr="00623E98">
              <w:lastRenderedPageBreak/>
              <w:t>(национальной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F466B8" w:rsidRPr="00623E98" w:rsidRDefault="00F466B8" w:rsidP="00F466B8">
            <w:pPr>
              <w:shd w:val="clear" w:color="auto" w:fill="FFFFFF"/>
              <w:tabs>
                <w:tab w:val="left" w:pos="709"/>
              </w:tabs>
              <w:autoSpaceDE/>
              <w:autoSpaceDN/>
              <w:spacing w:after="120"/>
              <w:ind w:firstLine="270"/>
              <w:jc w:val="both"/>
              <w:rPr>
                <w:lang w:eastAsia="en-US"/>
              </w:rPr>
            </w:pPr>
            <w:r w:rsidRPr="00827BD8">
              <w:rPr>
                <w:lang w:eastAsia="en-US"/>
              </w:rPr>
              <w:t>22.7. Производные финансовые инструменты (фьюч</w:t>
            </w:r>
            <w:r w:rsidRPr="00623E98">
              <w:rPr>
                <w:lang w:eastAsia="en-US"/>
              </w:rPr>
              <w:t>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22.1.8.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rsidR="00D333DC" w:rsidRPr="00623E98" w:rsidRDefault="00D333DC" w:rsidP="00F466B8">
            <w:pPr>
              <w:shd w:val="clear" w:color="auto" w:fill="FFFFFF"/>
              <w:tabs>
                <w:tab w:val="left" w:pos="709"/>
              </w:tabs>
              <w:autoSpaceDE/>
              <w:autoSpaceDN/>
              <w:spacing w:after="120"/>
              <w:ind w:firstLine="270"/>
              <w:jc w:val="both"/>
            </w:pPr>
            <w:r w:rsidRPr="00623E98">
              <w:t>22.8. 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и предназначенные только для квалифицированных инвесторов.</w:t>
            </w:r>
          </w:p>
          <w:p w:rsidR="00F466B8" w:rsidRPr="00623E98" w:rsidRDefault="00F466B8" w:rsidP="00F466B8">
            <w:pPr>
              <w:shd w:val="clear" w:color="auto" w:fill="FFFFFF"/>
              <w:tabs>
                <w:tab w:val="left" w:pos="709"/>
              </w:tabs>
              <w:autoSpaceDE/>
              <w:autoSpaceDN/>
              <w:spacing w:after="120"/>
              <w:ind w:firstLine="270"/>
              <w:jc w:val="both"/>
              <w:rPr>
                <w:lang w:eastAsia="en-US"/>
              </w:rPr>
            </w:pPr>
            <w:r w:rsidRPr="00623E98">
              <w:t>22.</w:t>
            </w:r>
            <w:r w:rsidR="00D333DC" w:rsidRPr="00623E98">
              <w:t>9</w:t>
            </w:r>
            <w:r w:rsidRPr="00623E98">
              <w:t>. В состав активов фонда не могут входить производные финансовые инструменты, порядок заключения, обращения и исполнения которых определяется в соответствии с законодательством Российской Федерации о рынке ценных бумаг и которые предназначены только для квалифицированных инвесторов.</w:t>
            </w:r>
          </w:p>
          <w:p w:rsidR="00F466B8" w:rsidRPr="00623E98" w:rsidRDefault="00F466B8" w:rsidP="00F466B8">
            <w:pPr>
              <w:shd w:val="clear" w:color="auto" w:fill="FFFFFF"/>
              <w:spacing w:before="60" w:after="60"/>
              <w:ind w:firstLine="567"/>
            </w:pPr>
            <w:r w:rsidRPr="00623E98">
              <w:t>23. Структура активов фонда.</w:t>
            </w:r>
          </w:p>
          <w:p w:rsidR="00F466B8" w:rsidRPr="00623E98" w:rsidRDefault="00F466B8" w:rsidP="00F466B8">
            <w:pPr>
              <w:adjustRightInd w:val="0"/>
              <w:ind w:firstLine="539"/>
              <w:jc w:val="both"/>
            </w:pPr>
            <w:r w:rsidRPr="00623E98">
              <w:t>23.1. Структура активов фонда должна одновременно соответствовать следующим требованиям:</w:t>
            </w:r>
          </w:p>
          <w:p w:rsidR="00F466B8" w:rsidRPr="00623E98" w:rsidRDefault="00F466B8" w:rsidP="00F466B8">
            <w:pPr>
              <w:shd w:val="clear" w:color="auto" w:fill="FFFFFF"/>
              <w:spacing w:before="60" w:after="60"/>
              <w:ind w:firstLine="539"/>
              <w:jc w:val="both"/>
            </w:pPr>
            <w:r w:rsidRPr="00623E98">
              <w:t xml:space="preserve">23.1.1. облигации, выпущенные </w:t>
            </w:r>
            <w:proofErr w:type="spellStart"/>
            <w:r w:rsidRPr="00623E98">
              <w:t>микрофинансовыми</w:t>
            </w:r>
            <w:proofErr w:type="spellEnd"/>
            <w:r w:rsidRPr="00623E98">
              <w:t xml:space="preserve"> организациями, не могут составлять более 10 (Десяти) процентов стоимости активов фонда;</w:t>
            </w:r>
          </w:p>
          <w:p w:rsidR="00F466B8" w:rsidRPr="00623E98" w:rsidRDefault="00F466B8" w:rsidP="00F466B8">
            <w:pPr>
              <w:adjustRightInd w:val="0"/>
              <w:ind w:firstLine="539"/>
              <w:jc w:val="both"/>
            </w:pPr>
            <w:r w:rsidRPr="00623E98">
              <w:t>23.1.2.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 права требования к такому юридическому лицу в совокупности не должны превышать 14 (Четырнадцать) процентов стоимости активов фонда, с 1 июля 2021 года - 13 (Тринадцать) процентов стоимости активов фонда, с 1 января 2022 года - 12 (Двенадцать) процентов стоимости активов фонда, с 1 июля 2022 года - 11 (Одиннадцать) процентов стоимости активов фонда, а с 1 января 2023 года - 10 (Десять)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F466B8" w:rsidRPr="00623E98" w:rsidRDefault="00F466B8" w:rsidP="00F466B8">
            <w:pPr>
              <w:adjustRightInd w:val="0"/>
              <w:ind w:firstLine="539"/>
              <w:jc w:val="both"/>
            </w:pPr>
            <w:r w:rsidRPr="00623E98">
              <w:t xml:space="preserve">Оценочная стоимость ценных бумаг одного субъекта Российской Федерации </w:t>
            </w:r>
            <w:r w:rsidRPr="00623E98">
              <w:lastRenderedPageBreak/>
              <w:t>(административно-территориального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14 (Четырнадцать) процентов стоимости активов фонда, с 1 июля 2021 года - 13 (Тринадцать) процентов стоимости активов фонда, с 1 января 2022 года - 12 (Двенадцать) процентов стоимости активов фонда, с 1 июля 2022 года - 11 (Одиннадцать) процентов стоимости активов фонда, а с 1 января 2023 года - 10 (Десять) процентов стоимости активов фонда.</w:t>
            </w:r>
          </w:p>
          <w:p w:rsidR="00F466B8" w:rsidRPr="00623E98" w:rsidRDefault="00F466B8" w:rsidP="00F466B8">
            <w:pPr>
              <w:adjustRightInd w:val="0"/>
              <w:ind w:firstLine="539"/>
              <w:jc w:val="both"/>
            </w:pPr>
            <w:r w:rsidRPr="00623E98">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F466B8" w:rsidRPr="00623E98" w:rsidRDefault="00F466B8" w:rsidP="00F466B8">
            <w:pPr>
              <w:ind w:firstLine="567"/>
              <w:jc w:val="both"/>
            </w:pPr>
            <w:r w:rsidRPr="00623E98">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(Десять)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F466B8" w:rsidRPr="00623E98" w:rsidRDefault="00F466B8" w:rsidP="00F466B8">
            <w:pPr>
              <w:adjustRightInd w:val="0"/>
              <w:ind w:firstLine="539"/>
              <w:jc w:val="both"/>
            </w:pPr>
            <w:r w:rsidRPr="00623E98">
              <w:t xml:space="preserve">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w:t>
            </w:r>
            <w:r w:rsidRPr="00623E98">
              <w:lastRenderedPageBreak/>
              <w:t>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w:t>
            </w:r>
          </w:p>
          <w:p w:rsidR="00F466B8" w:rsidRPr="00623E98" w:rsidRDefault="00F466B8" w:rsidP="00F466B8">
            <w:pPr>
              <w:adjustRightInd w:val="0"/>
              <w:ind w:firstLine="539"/>
              <w:jc w:val="both"/>
            </w:pPr>
            <w:r w:rsidRPr="00623E98">
              <w:t>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F466B8" w:rsidRPr="00623E98" w:rsidRDefault="00F466B8" w:rsidP="00F466B8">
            <w:pPr>
              <w:ind w:firstLine="567"/>
              <w:jc w:val="both"/>
            </w:pPr>
            <w:r w:rsidRPr="00623E98">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F466B8" w:rsidRPr="00623E98" w:rsidRDefault="00F466B8" w:rsidP="00F466B8">
            <w:pPr>
              <w:ind w:firstLine="567"/>
              <w:jc w:val="both"/>
            </w:pPr>
            <w:r w:rsidRPr="00623E98">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F466B8" w:rsidRPr="00623E98" w:rsidRDefault="00F466B8" w:rsidP="00F466B8">
            <w:pPr>
              <w:ind w:firstLine="567"/>
              <w:jc w:val="both"/>
            </w:pPr>
            <w:r w:rsidRPr="00623E98">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сделок, указанных в настоящем абзаце, и заемных </w:t>
            </w:r>
            <w:r w:rsidRPr="00623E98">
              <w:lastRenderedPageBreak/>
              <w:t>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F466B8" w:rsidRPr="00623E98" w:rsidRDefault="00F466B8" w:rsidP="00F466B8">
            <w:pPr>
              <w:ind w:firstLine="567"/>
              <w:jc w:val="both"/>
            </w:pPr>
            <w:r w:rsidRPr="00623E98">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rsidR="00F466B8" w:rsidRPr="00623E98" w:rsidRDefault="00F466B8" w:rsidP="00F466B8">
            <w:pPr>
              <w:adjustRightInd w:val="0"/>
              <w:ind w:firstLine="539"/>
              <w:jc w:val="both"/>
            </w:pPr>
            <w:r w:rsidRPr="00623E98">
              <w:t>Для целей абзаца восьмого и девятого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F466B8" w:rsidRPr="00623E98" w:rsidRDefault="00F466B8" w:rsidP="00F466B8">
            <w:pPr>
              <w:adjustRightInd w:val="0"/>
              <w:ind w:firstLine="539"/>
              <w:jc w:val="both"/>
            </w:pPr>
          </w:p>
          <w:p w:rsidR="00F466B8" w:rsidRPr="00623E98" w:rsidRDefault="00F466B8" w:rsidP="00F466B8">
            <w:pPr>
              <w:adjustRightInd w:val="0"/>
              <w:ind w:firstLine="539"/>
              <w:jc w:val="both"/>
            </w:pPr>
            <w:r w:rsidRPr="00623E98">
              <w:t>23.1.</w:t>
            </w:r>
            <w:r w:rsidR="00761408" w:rsidRPr="00623E98">
              <w:t>3</w:t>
            </w:r>
            <w:r w:rsidRPr="00623E98">
              <w:t>. Доля стоимости ликвидных инструментов от стоимости чистых активов фонда в совокупности должна превышать большую из следующих величин:</w:t>
            </w:r>
          </w:p>
          <w:p w:rsidR="00F466B8" w:rsidRPr="00623E98" w:rsidRDefault="00F466B8" w:rsidP="00F466B8">
            <w:pPr>
              <w:adjustRightInd w:val="0"/>
              <w:ind w:firstLine="539"/>
              <w:jc w:val="both"/>
            </w:pPr>
            <w:r w:rsidRPr="00623E98">
              <w:t>•</w:t>
            </w:r>
            <w:r w:rsidRPr="00623E98">
              <w:tab/>
              <w:t>5 (Пять) процентов;</w:t>
            </w:r>
          </w:p>
          <w:p w:rsidR="00F466B8" w:rsidRPr="00623E98" w:rsidRDefault="00F466B8" w:rsidP="00F466B8">
            <w:pPr>
              <w:adjustRightInd w:val="0"/>
              <w:ind w:firstLine="539"/>
              <w:jc w:val="both"/>
            </w:pPr>
            <w:r w:rsidRPr="00623E98">
              <w:t>•</w:t>
            </w:r>
            <w:r w:rsidRPr="00623E98">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rsidR="00F466B8" w:rsidRPr="00623E98" w:rsidRDefault="00F466B8" w:rsidP="00F466B8">
            <w:pPr>
              <w:adjustRightInd w:val="0"/>
              <w:ind w:firstLine="539"/>
              <w:jc w:val="both"/>
            </w:pPr>
          </w:p>
          <w:p w:rsidR="00F466B8" w:rsidRPr="00F2004B" w:rsidRDefault="00F466B8" w:rsidP="00F466B8">
            <w:pPr>
              <w:adjustRightInd w:val="0"/>
              <w:ind w:firstLine="539"/>
              <w:jc w:val="both"/>
            </w:pPr>
            <w:r w:rsidRPr="00623E98">
              <w:t>23.1.</w:t>
            </w:r>
            <w:r w:rsidR="00761408" w:rsidRPr="00623E98">
              <w:t>4</w:t>
            </w:r>
            <w:r w:rsidRPr="00623E98">
              <w:t xml:space="preserve">. </w:t>
            </w:r>
            <w:r w:rsidRPr="00623E98">
              <w:rPr>
                <w:iCs/>
              </w:rPr>
              <w:t xml:space="preserve">Оценочная стоимость ценных бумаг, указанных в подпунктах 22.1.1.2, 22.1.1.3, а также 22.1.2 – 22.1.7 пункта 22 настоящих Правил, </w:t>
            </w:r>
            <w:r w:rsidRPr="00623E98">
              <w:t>российских и иностранных депозитарных расписок на указанные ценные бумаги</w:t>
            </w:r>
            <w:r w:rsidRPr="00623E98">
              <w:rPr>
                <w:iCs/>
              </w:rPr>
              <w:t xml:space="preserve">, а также денежных средств в рублях и иностранной валюте во вкладах (депозитах) в российских кредитных организациях в совокупности может составлять </w:t>
            </w:r>
            <w:r w:rsidRPr="00623E98">
              <w:rPr>
                <w:bCs/>
                <w:iCs/>
              </w:rPr>
              <w:t>не более 20</w:t>
            </w:r>
            <w:r w:rsidRPr="00623E98">
              <w:rPr>
                <w:iCs/>
              </w:rPr>
              <w:t xml:space="preserve"> (Двадцати) процентов стоимости активов</w:t>
            </w:r>
            <w:r w:rsidRPr="00F2004B">
              <w:rPr>
                <w:i/>
                <w:iCs/>
              </w:rPr>
              <w:t>.</w:t>
            </w:r>
          </w:p>
          <w:p w:rsidR="00F466B8" w:rsidRPr="00623E98" w:rsidRDefault="00F466B8" w:rsidP="00F466B8">
            <w:pPr>
              <w:adjustRightInd w:val="0"/>
              <w:ind w:firstLine="539"/>
              <w:jc w:val="both"/>
              <w:rPr>
                <w:bCs/>
              </w:rPr>
            </w:pPr>
            <w:r w:rsidRPr="00F2004B">
              <w:rPr>
                <w:bCs/>
                <w:iCs/>
              </w:rPr>
              <w:t xml:space="preserve">Для целей настоящего пункта не учитываются паи (акции) иностранных инвестиционных фондов, документами, </w:t>
            </w:r>
            <w:r w:rsidRPr="00F2004B">
              <w:rPr>
                <w:bCs/>
                <w:iCs/>
              </w:rPr>
              <w:lastRenderedPageBreak/>
              <w:t>регулирующими инвестиционную деятельность которых (в том числе инвестиционной декларацией, проспектом эмиссии, правилами доверительного управления), предусмотрено инвестирование в</w:t>
            </w:r>
            <w:r w:rsidRPr="00623E98">
              <w:rPr>
                <w:bCs/>
                <w:iCs/>
              </w:rPr>
              <w:t xml:space="preserve"> физическое золото в слитках.</w:t>
            </w:r>
          </w:p>
          <w:p w:rsidR="00F466B8" w:rsidRPr="00623E98" w:rsidRDefault="00F466B8" w:rsidP="00F466B8">
            <w:pPr>
              <w:adjustRightInd w:val="0"/>
              <w:ind w:firstLine="539"/>
              <w:jc w:val="both"/>
            </w:pPr>
            <w:r w:rsidRPr="00623E98">
              <w:rPr>
                <w:bCs/>
              </w:rPr>
              <w:t xml:space="preserve">Для целей настоящего пункта не учитываются </w:t>
            </w:r>
            <w:r w:rsidRPr="00623E98">
              <w:t>денежные средства в рублях и</w:t>
            </w:r>
            <w:r w:rsidRPr="00623E98" w:rsidDel="00D17F67">
              <w:t xml:space="preserve"> </w:t>
            </w:r>
            <w:r w:rsidRPr="00623E98">
              <w:t>в иностранной валюте на счетах в российских кредитных организациях, в том числе в отношении которых заключены соглашения о начислении процентов на остаток денежных средств на счете.</w:t>
            </w:r>
          </w:p>
          <w:p w:rsidR="00F466B8" w:rsidRPr="00623E98" w:rsidRDefault="00F466B8" w:rsidP="00F466B8">
            <w:pPr>
              <w:ind w:firstLine="567"/>
              <w:jc w:val="both"/>
              <w:rPr>
                <w:bCs/>
                <w:color w:val="000000" w:themeColor="text1"/>
              </w:rPr>
            </w:pPr>
            <w:r w:rsidRPr="00623E98">
              <w:rPr>
                <w:bCs/>
                <w:color w:val="000000" w:themeColor="text1"/>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rsidR="00F466B8" w:rsidRPr="00623E98" w:rsidRDefault="00F466B8" w:rsidP="00F466B8">
            <w:pPr>
              <w:adjustRightInd w:val="0"/>
              <w:ind w:firstLine="539"/>
              <w:jc w:val="both"/>
              <w:rPr>
                <w:bCs/>
                <w:color w:val="000000" w:themeColor="text1"/>
              </w:rPr>
            </w:pPr>
            <w:r w:rsidRPr="00623E98">
              <w:rPr>
                <w:bCs/>
                <w:color w:val="000000" w:themeColor="text1"/>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rsidR="00F466B8" w:rsidRPr="00623E98" w:rsidRDefault="00F466B8" w:rsidP="00F466B8">
            <w:pPr>
              <w:adjustRightInd w:val="0"/>
              <w:ind w:firstLine="539"/>
              <w:jc w:val="both"/>
              <w:rPr>
                <w:bCs/>
                <w:color w:val="000000" w:themeColor="text1"/>
              </w:rPr>
            </w:pPr>
          </w:p>
          <w:p w:rsidR="00F466B8" w:rsidRPr="00623E98" w:rsidRDefault="00F466B8" w:rsidP="00F466B8">
            <w:pPr>
              <w:adjustRightInd w:val="0"/>
              <w:ind w:firstLine="539"/>
              <w:jc w:val="both"/>
            </w:pPr>
            <w:r w:rsidRPr="00623E98">
              <w:t>23.2.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w:t>
            </w:r>
            <w:r w:rsidR="00636A9D">
              <w:t>2</w:t>
            </w:r>
            <w:r w:rsidR="00636A9D" w:rsidRPr="00623E98">
              <w:t xml:space="preserve"> </w:t>
            </w:r>
            <w:r w:rsidRPr="00623E98">
              <w:t>настоящих Правил).</w:t>
            </w:r>
          </w:p>
          <w:p w:rsidR="00F466B8" w:rsidRPr="00623E98" w:rsidRDefault="00F466B8" w:rsidP="00F466B8">
            <w:pPr>
              <w:adjustRightInd w:val="0"/>
              <w:ind w:firstLine="539"/>
              <w:jc w:val="both"/>
            </w:pPr>
            <w:r w:rsidRPr="00623E98">
              <w:t>23.3. Требования пункта 23 настоящих Правил не применяются с даты возникновения основания прекращения фонда.</w:t>
            </w:r>
          </w:p>
          <w:p w:rsidR="00F466B8" w:rsidRPr="00623E98" w:rsidRDefault="00F466B8" w:rsidP="00F466B8"/>
          <w:p w:rsidR="009F0AC2" w:rsidRPr="00623E98" w:rsidRDefault="009F0AC2" w:rsidP="009F0AC2">
            <w:pPr>
              <w:autoSpaceDE/>
              <w:autoSpaceDN/>
              <w:jc w:val="both"/>
              <w:rPr>
                <w:lang w:eastAsia="en-US"/>
              </w:rPr>
            </w:pPr>
          </w:p>
        </w:tc>
      </w:tr>
      <w:tr w:rsidR="00682D8D" w:rsidRPr="00802743" w:rsidTr="00C1316B">
        <w:trPr>
          <w:trHeight w:val="652"/>
        </w:trPr>
        <w:tc>
          <w:tcPr>
            <w:tcW w:w="568" w:type="dxa"/>
          </w:tcPr>
          <w:p w:rsidR="00682D8D" w:rsidRPr="00623E98" w:rsidRDefault="00E31C38" w:rsidP="00682D8D">
            <w:pPr>
              <w:pStyle w:val="prg3"/>
              <w:numPr>
                <w:ilvl w:val="0"/>
                <w:numId w:val="0"/>
              </w:numPr>
              <w:spacing w:before="0" w:after="120"/>
              <w:ind w:left="-87"/>
              <w:jc w:val="center"/>
              <w:rPr>
                <w:rFonts w:ascii="Times New Roman" w:hAnsi="Times New Roman" w:cs="Times New Roman"/>
                <w:kern w:val="0"/>
              </w:rPr>
            </w:pPr>
            <w:r w:rsidRPr="00623E98">
              <w:rPr>
                <w:rFonts w:ascii="Times New Roman" w:hAnsi="Times New Roman" w:cs="Times New Roman"/>
                <w:kern w:val="0"/>
              </w:rPr>
              <w:lastRenderedPageBreak/>
              <w:t>2</w:t>
            </w:r>
          </w:p>
        </w:tc>
        <w:tc>
          <w:tcPr>
            <w:tcW w:w="1076" w:type="dxa"/>
          </w:tcPr>
          <w:p w:rsidR="00682D8D" w:rsidRPr="00623E98" w:rsidRDefault="000D7361" w:rsidP="00682D8D">
            <w:pPr>
              <w:pStyle w:val="prg3"/>
              <w:numPr>
                <w:ilvl w:val="0"/>
                <w:numId w:val="0"/>
              </w:numPr>
              <w:spacing w:before="0" w:after="120"/>
              <w:jc w:val="center"/>
              <w:rPr>
                <w:rFonts w:ascii="Times New Roman" w:hAnsi="Times New Roman" w:cs="Times New Roman"/>
                <w:kern w:val="0"/>
              </w:rPr>
            </w:pPr>
            <w:r w:rsidRPr="00623E98">
              <w:rPr>
                <w:rFonts w:ascii="Times New Roman" w:hAnsi="Times New Roman" w:cs="Times New Roman"/>
                <w:kern w:val="0"/>
              </w:rPr>
              <w:t>27.</w:t>
            </w:r>
          </w:p>
        </w:tc>
        <w:tc>
          <w:tcPr>
            <w:tcW w:w="4170" w:type="dxa"/>
          </w:tcPr>
          <w:p w:rsidR="000D7361" w:rsidRPr="00623E98" w:rsidRDefault="000D7361" w:rsidP="000D7361">
            <w:pPr>
              <w:autoSpaceDE/>
              <w:autoSpaceDN/>
              <w:spacing w:before="60" w:after="60"/>
              <w:jc w:val="both"/>
              <w:rPr>
                <w:lang w:eastAsia="en-US"/>
              </w:rPr>
            </w:pPr>
            <w:r w:rsidRPr="00623E98">
              <w:rPr>
                <w:lang w:eastAsia="en-US"/>
              </w:rPr>
              <w:t>Управляющая компания обязана:</w:t>
            </w:r>
          </w:p>
          <w:p w:rsidR="000D7361" w:rsidRPr="00623E98" w:rsidRDefault="000D7361" w:rsidP="000D7361">
            <w:pPr>
              <w:autoSpaceDE/>
              <w:autoSpaceDN/>
              <w:spacing w:before="60" w:after="60"/>
              <w:ind w:firstLine="360"/>
              <w:jc w:val="both"/>
              <w:rPr>
                <w:lang w:eastAsia="en-US"/>
              </w:rPr>
            </w:pPr>
            <w:r w:rsidRPr="00623E98">
              <w:rPr>
                <w:lang w:eastAsia="en-US"/>
              </w:rPr>
              <w:t>27.1.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0D7361" w:rsidRPr="00623E98" w:rsidRDefault="000D7361" w:rsidP="000D7361">
            <w:pPr>
              <w:autoSpaceDE/>
              <w:autoSpaceDN/>
              <w:spacing w:before="60" w:after="60"/>
              <w:ind w:firstLine="360"/>
              <w:jc w:val="both"/>
              <w:rPr>
                <w:lang w:eastAsia="en-US"/>
              </w:rPr>
            </w:pPr>
            <w:r w:rsidRPr="00623E98">
              <w:rPr>
                <w:lang w:eastAsia="en-US"/>
              </w:rPr>
              <w:t>27.2. при осуществлении доверительного управления фондом, действовать разумно и добросовестно в интересах владельцев инвестиционных паев;</w:t>
            </w:r>
          </w:p>
          <w:p w:rsidR="000D7361" w:rsidRPr="00623E98" w:rsidRDefault="000D7361" w:rsidP="000D7361">
            <w:pPr>
              <w:autoSpaceDE/>
              <w:autoSpaceDN/>
              <w:spacing w:before="60" w:after="60"/>
              <w:ind w:firstLine="360"/>
              <w:jc w:val="both"/>
              <w:rPr>
                <w:lang w:eastAsia="en-US"/>
              </w:rPr>
            </w:pPr>
            <w:r w:rsidRPr="00623E98">
              <w:rPr>
                <w:lang w:eastAsia="en-US"/>
              </w:rPr>
              <w:t>27.3.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0D7361" w:rsidRPr="00623E98" w:rsidRDefault="000D7361" w:rsidP="000D7361">
            <w:pPr>
              <w:autoSpaceDE/>
              <w:autoSpaceDN/>
              <w:spacing w:before="60" w:after="60"/>
              <w:ind w:firstLine="360"/>
              <w:jc w:val="both"/>
              <w:rPr>
                <w:lang w:eastAsia="en-US"/>
              </w:rPr>
            </w:pPr>
            <w:r w:rsidRPr="00623E98">
              <w:rPr>
                <w:lang w:eastAsia="en-US"/>
              </w:rPr>
              <w:t>27.4.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0D7361" w:rsidRPr="00623E98" w:rsidRDefault="000D7361" w:rsidP="000D7361">
            <w:pPr>
              <w:autoSpaceDE/>
              <w:autoSpaceDN/>
              <w:spacing w:before="60" w:after="60"/>
              <w:ind w:firstLine="360"/>
              <w:jc w:val="both"/>
              <w:rPr>
                <w:lang w:eastAsia="en-US"/>
              </w:rPr>
            </w:pPr>
            <w:r w:rsidRPr="00623E98">
              <w:rPr>
                <w:lang w:eastAsia="en-US"/>
              </w:rPr>
              <w:lastRenderedPageBreak/>
              <w:t>27.5.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rsidR="000D7361" w:rsidRPr="00623E98" w:rsidRDefault="000D7361" w:rsidP="000D7361">
            <w:pPr>
              <w:autoSpaceDE/>
              <w:autoSpaceDN/>
              <w:spacing w:before="60" w:after="60"/>
              <w:ind w:firstLine="360"/>
              <w:jc w:val="both"/>
              <w:rPr>
                <w:lang w:eastAsia="en-US"/>
              </w:rPr>
            </w:pPr>
            <w:r w:rsidRPr="00623E98">
              <w:rPr>
                <w:lang w:eastAsia="en-US"/>
              </w:rPr>
              <w:t>27.6. раскрывать отчеты, требования к которым устанавливаются Банком России.</w:t>
            </w:r>
          </w:p>
          <w:p w:rsidR="00682D8D" w:rsidRPr="00623E98" w:rsidRDefault="00682D8D" w:rsidP="00682D8D">
            <w:pPr>
              <w:tabs>
                <w:tab w:val="num" w:pos="1080"/>
              </w:tabs>
              <w:autoSpaceDE/>
              <w:autoSpaceDN/>
              <w:jc w:val="both"/>
              <w:rPr>
                <w:lang w:eastAsia="en-US"/>
              </w:rPr>
            </w:pPr>
          </w:p>
        </w:tc>
        <w:tc>
          <w:tcPr>
            <w:tcW w:w="4253" w:type="dxa"/>
          </w:tcPr>
          <w:p w:rsidR="000D7361" w:rsidRPr="00623E98" w:rsidRDefault="000D7361" w:rsidP="000D7361">
            <w:pPr>
              <w:autoSpaceDE/>
              <w:autoSpaceDN/>
              <w:spacing w:before="60" w:after="60"/>
              <w:jc w:val="both"/>
              <w:rPr>
                <w:lang w:eastAsia="en-US"/>
              </w:rPr>
            </w:pPr>
            <w:r w:rsidRPr="00623E98">
              <w:rPr>
                <w:lang w:eastAsia="en-US"/>
              </w:rPr>
              <w:lastRenderedPageBreak/>
              <w:t>Управляющая компания обязана:</w:t>
            </w:r>
          </w:p>
          <w:p w:rsidR="000D7361" w:rsidRPr="00623E98" w:rsidRDefault="000D7361" w:rsidP="000D7361">
            <w:pPr>
              <w:autoSpaceDE/>
              <w:autoSpaceDN/>
              <w:spacing w:before="60" w:after="60"/>
              <w:ind w:firstLine="360"/>
              <w:jc w:val="both"/>
              <w:rPr>
                <w:lang w:eastAsia="en-US"/>
              </w:rPr>
            </w:pPr>
            <w:r w:rsidRPr="00623E98">
              <w:rPr>
                <w:lang w:eastAsia="en-US"/>
              </w:rPr>
              <w:t>27.1.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0D7361" w:rsidRPr="00623E98" w:rsidRDefault="000D7361" w:rsidP="000D7361">
            <w:pPr>
              <w:autoSpaceDE/>
              <w:autoSpaceDN/>
              <w:spacing w:before="60" w:after="60"/>
              <w:ind w:firstLine="360"/>
              <w:jc w:val="both"/>
              <w:rPr>
                <w:lang w:eastAsia="en-US"/>
              </w:rPr>
            </w:pPr>
            <w:r w:rsidRPr="00623E98">
              <w:rPr>
                <w:b/>
              </w:rPr>
              <w:t>27.2. 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0D7361" w:rsidRPr="00623E98" w:rsidRDefault="000D7361" w:rsidP="000D7361">
            <w:pPr>
              <w:autoSpaceDE/>
              <w:autoSpaceDN/>
              <w:spacing w:before="60" w:after="60"/>
              <w:ind w:firstLine="360"/>
              <w:jc w:val="both"/>
              <w:rPr>
                <w:lang w:eastAsia="en-US"/>
              </w:rPr>
            </w:pPr>
            <w:r w:rsidRPr="00623E98">
              <w:rPr>
                <w:b/>
                <w:lang w:eastAsia="en-US"/>
              </w:rPr>
              <w:t>27.3</w:t>
            </w:r>
            <w:r w:rsidRPr="00623E98">
              <w:rPr>
                <w:lang w:eastAsia="en-US"/>
              </w:rPr>
              <w:t>. при осуществлении доверительного управления фондом, действовать разумно и добросовестно в интересах владельцев инвестиционных паев;</w:t>
            </w:r>
          </w:p>
          <w:p w:rsidR="000D7361" w:rsidRPr="00623E98" w:rsidRDefault="000D7361" w:rsidP="000D7361">
            <w:pPr>
              <w:autoSpaceDE/>
              <w:autoSpaceDN/>
              <w:spacing w:before="60" w:after="60"/>
              <w:ind w:firstLine="360"/>
              <w:jc w:val="both"/>
              <w:rPr>
                <w:lang w:eastAsia="en-US"/>
              </w:rPr>
            </w:pPr>
            <w:r w:rsidRPr="00623E98">
              <w:rPr>
                <w:b/>
                <w:lang w:eastAsia="en-US"/>
              </w:rPr>
              <w:t>27.4.</w:t>
            </w:r>
            <w:r w:rsidRPr="00623E98">
              <w:rPr>
                <w:lang w:eastAsia="en-US"/>
              </w:rPr>
              <w:t xml:space="preserve">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w:t>
            </w:r>
            <w:r w:rsidRPr="00623E98">
              <w:rPr>
                <w:lang w:eastAsia="en-US"/>
              </w:rPr>
              <w:lastRenderedPageBreak/>
              <w:t>том числе нормативными актами в сфере финансовых рынков, не предусмотрено иное;</w:t>
            </w:r>
          </w:p>
          <w:p w:rsidR="000D7361" w:rsidRPr="00623E98" w:rsidRDefault="000D7361" w:rsidP="000D7361">
            <w:pPr>
              <w:autoSpaceDE/>
              <w:autoSpaceDN/>
              <w:spacing w:before="60" w:after="60"/>
              <w:ind w:firstLine="360"/>
              <w:jc w:val="both"/>
              <w:rPr>
                <w:lang w:eastAsia="en-US"/>
              </w:rPr>
            </w:pPr>
            <w:r w:rsidRPr="00623E98">
              <w:rPr>
                <w:b/>
                <w:lang w:eastAsia="en-US"/>
              </w:rPr>
              <w:t>27.5.</w:t>
            </w:r>
            <w:r w:rsidRPr="00623E98">
              <w:rPr>
                <w:lang w:eastAsia="en-US"/>
              </w:rPr>
              <w:t xml:space="preserve">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0D7361" w:rsidRPr="00623E98" w:rsidRDefault="000D7361" w:rsidP="000D7361">
            <w:pPr>
              <w:autoSpaceDE/>
              <w:autoSpaceDN/>
              <w:spacing w:before="60" w:after="60"/>
              <w:ind w:firstLine="360"/>
              <w:jc w:val="both"/>
              <w:rPr>
                <w:lang w:eastAsia="en-US"/>
              </w:rPr>
            </w:pPr>
            <w:r w:rsidRPr="00623E98">
              <w:rPr>
                <w:b/>
                <w:lang w:eastAsia="en-US"/>
              </w:rPr>
              <w:t>27.6</w:t>
            </w:r>
            <w:r w:rsidRPr="00623E98">
              <w:rPr>
                <w:lang w:eastAsia="en-US"/>
              </w:rPr>
              <w:t>.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rsidR="000D7361" w:rsidRPr="00623E98" w:rsidRDefault="000D7361" w:rsidP="000D7361">
            <w:pPr>
              <w:autoSpaceDE/>
              <w:autoSpaceDN/>
              <w:spacing w:before="60" w:after="60"/>
              <w:ind w:firstLine="360"/>
              <w:jc w:val="both"/>
              <w:rPr>
                <w:lang w:eastAsia="en-US"/>
              </w:rPr>
            </w:pPr>
            <w:r w:rsidRPr="00623E98">
              <w:rPr>
                <w:b/>
                <w:lang w:eastAsia="en-US"/>
              </w:rPr>
              <w:t>27.7.</w:t>
            </w:r>
            <w:r w:rsidRPr="00623E98">
              <w:rPr>
                <w:lang w:eastAsia="en-US"/>
              </w:rPr>
              <w:t xml:space="preserve"> раскрывать отчеты, требования к которым устанавливаются Банком России.</w:t>
            </w:r>
          </w:p>
          <w:p w:rsidR="00682D8D" w:rsidRPr="00623E98" w:rsidRDefault="00682D8D" w:rsidP="00682D8D">
            <w:pPr>
              <w:spacing w:after="120"/>
              <w:ind w:left="11"/>
              <w:jc w:val="both"/>
              <w:rPr>
                <w:lang w:eastAsia="en-US"/>
              </w:rPr>
            </w:pPr>
          </w:p>
        </w:tc>
      </w:tr>
      <w:tr w:rsidR="00F07307" w:rsidRPr="00802743" w:rsidTr="00C1316B">
        <w:trPr>
          <w:trHeight w:val="652"/>
        </w:trPr>
        <w:tc>
          <w:tcPr>
            <w:tcW w:w="568" w:type="dxa"/>
          </w:tcPr>
          <w:p w:rsidR="00F07307" w:rsidRPr="00623E98" w:rsidRDefault="00623E98" w:rsidP="00682D8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3</w:t>
            </w:r>
          </w:p>
        </w:tc>
        <w:tc>
          <w:tcPr>
            <w:tcW w:w="1076" w:type="dxa"/>
          </w:tcPr>
          <w:p w:rsidR="00F07307" w:rsidRPr="00623E98" w:rsidRDefault="00C77AED" w:rsidP="00682D8D">
            <w:pPr>
              <w:pStyle w:val="prg3"/>
              <w:numPr>
                <w:ilvl w:val="0"/>
                <w:numId w:val="0"/>
              </w:numPr>
              <w:spacing w:before="0" w:after="120"/>
              <w:jc w:val="center"/>
              <w:rPr>
                <w:rFonts w:ascii="Times New Roman" w:hAnsi="Times New Roman" w:cs="Times New Roman"/>
                <w:kern w:val="0"/>
              </w:rPr>
            </w:pPr>
            <w:r w:rsidRPr="00623E98">
              <w:rPr>
                <w:rFonts w:ascii="Times New Roman" w:hAnsi="Times New Roman" w:cs="Times New Roman"/>
                <w:kern w:val="0"/>
              </w:rPr>
              <w:t>30.</w:t>
            </w:r>
          </w:p>
        </w:tc>
        <w:tc>
          <w:tcPr>
            <w:tcW w:w="4170" w:type="dxa"/>
          </w:tcPr>
          <w:p w:rsidR="00C77AED" w:rsidRPr="00E44291" w:rsidRDefault="00C77AED" w:rsidP="00C77AED">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rPr>
            </w:pPr>
            <w:r w:rsidRPr="00E44291">
              <w:rPr>
                <w:rFonts w:ascii="Times New Roman" w:hAnsi="Times New Roman"/>
              </w:rPr>
              <w:t xml:space="preserve">По сделкам, совершенным в нарушение требований подпункта 26.9. пункта 26 настоящих </w:t>
            </w:r>
            <w:r w:rsidR="00827BD8" w:rsidRPr="00827BD8">
              <w:rPr>
                <w:rFonts w:ascii="Times New Roman" w:hAnsi="Times New Roman"/>
              </w:rPr>
              <w:t>Правил, подпунктов</w:t>
            </w:r>
            <w:r w:rsidRPr="00E44291">
              <w:rPr>
                <w:rFonts w:ascii="Times New Roman" w:hAnsi="Times New Roman"/>
              </w:rPr>
              <w:t xml:space="preserve"> 28.1., 28.3. и 28.5. пункта 28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F07307" w:rsidRPr="00623E98" w:rsidRDefault="00F07307" w:rsidP="000D7361">
            <w:pPr>
              <w:autoSpaceDE/>
              <w:autoSpaceDN/>
              <w:spacing w:before="60" w:after="60"/>
              <w:jc w:val="both"/>
              <w:rPr>
                <w:lang w:eastAsia="en-US"/>
              </w:rPr>
            </w:pPr>
          </w:p>
        </w:tc>
        <w:tc>
          <w:tcPr>
            <w:tcW w:w="4253" w:type="dxa"/>
          </w:tcPr>
          <w:p w:rsidR="00C77AED" w:rsidRPr="00623E98" w:rsidRDefault="00F07307" w:rsidP="00F07307">
            <w:pPr>
              <w:tabs>
                <w:tab w:val="left" w:pos="284"/>
              </w:tabs>
              <w:spacing w:before="60" w:after="60"/>
              <w:jc w:val="both"/>
              <w:rPr>
                <w:b/>
              </w:rPr>
            </w:pPr>
            <w:r w:rsidRPr="00623E98">
              <w:rPr>
                <w:b/>
              </w:rPr>
              <w:t>30. Ограничения на совершение сделок</w:t>
            </w:r>
            <w:r w:rsidR="00C77AED" w:rsidRPr="00623E98">
              <w:rPr>
                <w:b/>
              </w:rPr>
              <w:t>:</w:t>
            </w:r>
          </w:p>
          <w:p w:rsidR="00F07307" w:rsidRPr="00623E98" w:rsidRDefault="00C77AED" w:rsidP="00F07307">
            <w:pPr>
              <w:tabs>
                <w:tab w:val="left" w:pos="284"/>
              </w:tabs>
              <w:spacing w:before="60" w:after="60"/>
              <w:jc w:val="both"/>
              <w:rPr>
                <w:b/>
              </w:rPr>
            </w:pPr>
            <w:r w:rsidRPr="00327342">
              <w:rPr>
                <w:b/>
              </w:rPr>
              <w:t xml:space="preserve">30.1. </w:t>
            </w:r>
            <w:r w:rsidR="00327342" w:rsidRPr="00327342">
              <w:rPr>
                <w:b/>
              </w:rPr>
              <w:t>ограничения,</w:t>
            </w:r>
            <w:r w:rsidRPr="00327342">
              <w:rPr>
                <w:b/>
              </w:rPr>
              <w:t xml:space="preserve"> </w:t>
            </w:r>
            <w:r w:rsidR="00F07307" w:rsidRPr="00327342">
              <w:rPr>
                <w:b/>
              </w:rPr>
              <w:t>установленные подпунктом 28.5.9 пункта 28 настоящих Правил, не применяются, если указанные сделки:</w:t>
            </w:r>
          </w:p>
          <w:p w:rsidR="00F07307" w:rsidRPr="00623E98" w:rsidRDefault="00F07307" w:rsidP="00F07307">
            <w:pPr>
              <w:tabs>
                <w:tab w:val="left" w:pos="284"/>
              </w:tabs>
              <w:spacing w:before="60" w:after="60"/>
              <w:jc w:val="both"/>
              <w:rPr>
                <w:b/>
              </w:rPr>
            </w:pPr>
            <w:r w:rsidRPr="00623E98">
              <w:rPr>
                <w:b/>
              </w:rPr>
              <w:tab/>
              <w:t>30.1.</w:t>
            </w:r>
            <w:r w:rsidR="00C77AED" w:rsidRPr="00623E98">
              <w:rPr>
                <w:b/>
              </w:rPr>
              <w:t xml:space="preserve">1. </w:t>
            </w:r>
            <w:r w:rsidRPr="00623E98">
              <w:rPr>
                <w:b/>
              </w:rPr>
              <w:t>совершаются с ценными бумагами, включенными в котировальные списки российских бирж;</w:t>
            </w:r>
          </w:p>
          <w:p w:rsidR="00F07307" w:rsidRPr="00623E98" w:rsidRDefault="00F07307" w:rsidP="00F07307">
            <w:pPr>
              <w:tabs>
                <w:tab w:val="left" w:pos="284"/>
              </w:tabs>
              <w:spacing w:before="60" w:after="60"/>
              <w:jc w:val="both"/>
              <w:rPr>
                <w:b/>
              </w:rPr>
            </w:pPr>
            <w:r w:rsidRPr="00623E98">
              <w:rPr>
                <w:b/>
              </w:rPr>
              <w:tab/>
              <w:t>30.</w:t>
            </w:r>
            <w:r w:rsidR="00C77AED" w:rsidRPr="00623E98">
              <w:rPr>
                <w:b/>
              </w:rPr>
              <w:t>1.</w:t>
            </w:r>
            <w:r w:rsidRPr="00623E98">
              <w:rPr>
                <w:b/>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F07307" w:rsidRPr="00623E98" w:rsidRDefault="00F07307" w:rsidP="00F07307">
            <w:pPr>
              <w:tabs>
                <w:tab w:val="left" w:pos="284"/>
              </w:tabs>
              <w:spacing w:before="60" w:after="60"/>
              <w:jc w:val="both"/>
              <w:rPr>
                <w:b/>
              </w:rPr>
            </w:pPr>
            <w:r w:rsidRPr="00623E98">
              <w:rPr>
                <w:b/>
              </w:rPr>
              <w:tab/>
              <w:t>30.</w:t>
            </w:r>
            <w:r w:rsidR="00C77AED" w:rsidRPr="00623E98">
              <w:rPr>
                <w:b/>
              </w:rPr>
              <w:t>1.</w:t>
            </w:r>
            <w:r w:rsidRPr="00623E98">
              <w:rPr>
                <w:b/>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C77AED" w:rsidRPr="00E44291" w:rsidRDefault="00C77AED" w:rsidP="00C77AED">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rPr>
            </w:pPr>
            <w:r w:rsidRPr="00E44291">
              <w:rPr>
                <w:b/>
                <w:lang w:eastAsia="en-US"/>
              </w:rPr>
              <w:t xml:space="preserve">30.2. </w:t>
            </w:r>
            <w:r w:rsidR="00BC7486">
              <w:rPr>
                <w:rFonts w:ascii="Times New Roman" w:hAnsi="Times New Roman"/>
                <w:b/>
              </w:rPr>
              <w:t>о</w:t>
            </w:r>
            <w:r w:rsidRPr="00E44291">
              <w:rPr>
                <w:rFonts w:ascii="Times New Roman" w:hAnsi="Times New Roman"/>
                <w:b/>
              </w:rPr>
              <w:t>граничения по сделкам</w:t>
            </w:r>
            <w:r w:rsidRPr="00E44291">
              <w:rPr>
                <w:rFonts w:ascii="Times New Roman" w:hAnsi="Times New Roman"/>
              </w:rPr>
              <w:t xml:space="preserve">, совершенным в нарушение требований подпункта 26.9. пункта 26 настоящих </w:t>
            </w:r>
            <w:r w:rsidR="00327342" w:rsidRPr="00327342">
              <w:rPr>
                <w:rFonts w:ascii="Times New Roman" w:hAnsi="Times New Roman"/>
              </w:rPr>
              <w:t>Правил, подпунктов</w:t>
            </w:r>
            <w:r w:rsidRPr="00E44291">
              <w:rPr>
                <w:rFonts w:ascii="Times New Roman" w:hAnsi="Times New Roman"/>
              </w:rPr>
              <w:t xml:space="preserve"> 28.1., 28.3. и 28.5. пункта 28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F07307" w:rsidRPr="00623E98" w:rsidRDefault="00F07307" w:rsidP="000D7361">
            <w:pPr>
              <w:autoSpaceDE/>
              <w:autoSpaceDN/>
              <w:spacing w:before="60" w:after="60"/>
              <w:jc w:val="both"/>
              <w:rPr>
                <w:lang w:eastAsia="en-US"/>
              </w:rPr>
            </w:pPr>
          </w:p>
        </w:tc>
      </w:tr>
      <w:tr w:rsidR="00AB2DC1" w:rsidRPr="00802743" w:rsidTr="00C1316B">
        <w:trPr>
          <w:trHeight w:val="652"/>
        </w:trPr>
        <w:tc>
          <w:tcPr>
            <w:tcW w:w="568" w:type="dxa"/>
          </w:tcPr>
          <w:p w:rsidR="00AB2DC1" w:rsidRPr="00623E98" w:rsidRDefault="00623E98" w:rsidP="00682D8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4</w:t>
            </w:r>
          </w:p>
        </w:tc>
        <w:tc>
          <w:tcPr>
            <w:tcW w:w="1076" w:type="dxa"/>
          </w:tcPr>
          <w:p w:rsidR="00AB2DC1" w:rsidRPr="00623E98" w:rsidRDefault="00AB2DC1" w:rsidP="00682D8D">
            <w:pPr>
              <w:pStyle w:val="prg3"/>
              <w:numPr>
                <w:ilvl w:val="0"/>
                <w:numId w:val="0"/>
              </w:numPr>
              <w:spacing w:before="0" w:after="120"/>
              <w:jc w:val="center"/>
              <w:rPr>
                <w:rFonts w:ascii="Times New Roman" w:hAnsi="Times New Roman" w:cs="Times New Roman"/>
                <w:kern w:val="0"/>
              </w:rPr>
            </w:pPr>
            <w:r w:rsidRPr="00623E98">
              <w:rPr>
                <w:rFonts w:ascii="Times New Roman" w:hAnsi="Times New Roman" w:cs="Times New Roman"/>
                <w:kern w:val="0"/>
              </w:rPr>
              <w:t>46.2.</w:t>
            </w:r>
          </w:p>
        </w:tc>
        <w:tc>
          <w:tcPr>
            <w:tcW w:w="4170" w:type="dxa"/>
          </w:tcPr>
          <w:p w:rsidR="00AB2DC1" w:rsidRPr="00E44291" w:rsidRDefault="00AB2DC1" w:rsidP="00AB2DC1">
            <w:pPr>
              <w:autoSpaceDE/>
              <w:autoSpaceDN/>
              <w:spacing w:before="60" w:after="60"/>
              <w:ind w:firstLine="360"/>
              <w:jc w:val="both"/>
              <w:rPr>
                <w:lang w:eastAsia="en-US"/>
              </w:rPr>
            </w:pPr>
            <w:r w:rsidRPr="00E44291">
              <w:rPr>
                <w:lang w:eastAsia="en-US"/>
              </w:rPr>
              <w:t xml:space="preserve">Заявки на приобретение инвестиционных паев, в соответствии с которыми инвестиционные паи выдаются путем их зачисления на лицевой счет, открытый номинальному держателю в реестре владельцев инвестиционных паев, оформляются в соответствии с Приложением № 3 к настоящим Правилам и подаются </w:t>
            </w:r>
            <w:r w:rsidRPr="00E44291">
              <w:rPr>
                <w:b/>
                <w:lang w:eastAsia="en-US"/>
              </w:rPr>
              <w:t>в пунктах приема заявок уполномоченным представителем</w:t>
            </w:r>
            <w:r w:rsidRPr="00E44291">
              <w:rPr>
                <w:lang w:eastAsia="en-US"/>
              </w:rPr>
              <w:t xml:space="preserve"> номинального держателя.</w:t>
            </w:r>
          </w:p>
          <w:p w:rsidR="00AB2DC1" w:rsidRPr="00623E98" w:rsidRDefault="00AB2DC1" w:rsidP="003D513B">
            <w:pPr>
              <w:tabs>
                <w:tab w:val="left" w:pos="851"/>
              </w:tabs>
              <w:autoSpaceDE/>
              <w:autoSpaceDN/>
              <w:spacing w:before="60" w:after="60"/>
              <w:jc w:val="both"/>
              <w:rPr>
                <w:lang w:eastAsia="en-US"/>
              </w:rPr>
            </w:pPr>
          </w:p>
        </w:tc>
        <w:tc>
          <w:tcPr>
            <w:tcW w:w="4253" w:type="dxa"/>
          </w:tcPr>
          <w:p w:rsidR="00AB2DC1" w:rsidRPr="00E44291" w:rsidRDefault="00AB2DC1" w:rsidP="00AB2DC1">
            <w:pPr>
              <w:autoSpaceDE/>
              <w:autoSpaceDN/>
              <w:spacing w:before="60" w:after="60"/>
              <w:ind w:firstLine="360"/>
              <w:jc w:val="both"/>
              <w:rPr>
                <w:lang w:eastAsia="en-US"/>
              </w:rPr>
            </w:pPr>
            <w:r w:rsidRPr="00E44291">
              <w:rPr>
                <w:lang w:eastAsia="en-US"/>
              </w:rPr>
              <w:t xml:space="preserve">Заявки на приобретение инвестиционных паев, в соответствии с которыми инвестиционные паи выдаются путем их зачисления на лицевой счет, открытый номинальному держателю в реестре владельцев инвестиционных паев, оформляются в соответствии с Приложением № 3 к настоящим Правилам и подаются </w:t>
            </w:r>
            <w:r w:rsidRPr="00E44291">
              <w:rPr>
                <w:b/>
                <w:lang w:eastAsia="en-US"/>
              </w:rPr>
              <w:t>этим</w:t>
            </w:r>
            <w:r w:rsidRPr="00E44291">
              <w:rPr>
                <w:lang w:eastAsia="en-US"/>
              </w:rPr>
              <w:t xml:space="preserve"> номинальн</w:t>
            </w:r>
            <w:r w:rsidRPr="00623E98">
              <w:rPr>
                <w:lang w:eastAsia="en-US"/>
              </w:rPr>
              <w:t>ым</w:t>
            </w:r>
            <w:r w:rsidRPr="00E44291">
              <w:rPr>
                <w:lang w:eastAsia="en-US"/>
              </w:rPr>
              <w:t xml:space="preserve"> держател</w:t>
            </w:r>
            <w:r w:rsidRPr="00623E98">
              <w:rPr>
                <w:lang w:eastAsia="en-US"/>
              </w:rPr>
              <w:t>ем</w:t>
            </w:r>
            <w:r w:rsidRPr="00E44291">
              <w:rPr>
                <w:lang w:eastAsia="en-US"/>
              </w:rPr>
              <w:t>.</w:t>
            </w:r>
          </w:p>
          <w:p w:rsidR="00AB2DC1" w:rsidRPr="00623E98" w:rsidRDefault="00AB2DC1" w:rsidP="003D513B">
            <w:pPr>
              <w:tabs>
                <w:tab w:val="left" w:pos="851"/>
              </w:tabs>
              <w:autoSpaceDE/>
              <w:autoSpaceDN/>
              <w:spacing w:before="60" w:after="60"/>
              <w:jc w:val="both"/>
              <w:rPr>
                <w:lang w:eastAsia="en-US"/>
              </w:rPr>
            </w:pPr>
          </w:p>
        </w:tc>
      </w:tr>
      <w:tr w:rsidR="00682D8D" w:rsidRPr="00802743" w:rsidTr="00C1316B">
        <w:trPr>
          <w:trHeight w:val="652"/>
        </w:trPr>
        <w:tc>
          <w:tcPr>
            <w:tcW w:w="568" w:type="dxa"/>
          </w:tcPr>
          <w:p w:rsidR="00682D8D" w:rsidRPr="00623E98" w:rsidRDefault="00623E98" w:rsidP="00682D8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5</w:t>
            </w:r>
          </w:p>
        </w:tc>
        <w:tc>
          <w:tcPr>
            <w:tcW w:w="1076" w:type="dxa"/>
          </w:tcPr>
          <w:p w:rsidR="00682D8D" w:rsidRPr="00623E98" w:rsidRDefault="003D513B" w:rsidP="00682D8D">
            <w:pPr>
              <w:pStyle w:val="prg3"/>
              <w:numPr>
                <w:ilvl w:val="0"/>
                <w:numId w:val="0"/>
              </w:numPr>
              <w:spacing w:before="0" w:after="120"/>
              <w:jc w:val="center"/>
              <w:rPr>
                <w:rFonts w:ascii="Times New Roman" w:hAnsi="Times New Roman" w:cs="Times New Roman"/>
                <w:kern w:val="0"/>
              </w:rPr>
            </w:pPr>
            <w:r w:rsidRPr="00623E98">
              <w:rPr>
                <w:rFonts w:ascii="Times New Roman" w:hAnsi="Times New Roman" w:cs="Times New Roman"/>
                <w:kern w:val="0"/>
              </w:rPr>
              <w:t>9</w:t>
            </w:r>
            <w:r w:rsidR="00AB2DC1" w:rsidRPr="00623E98">
              <w:rPr>
                <w:rFonts w:ascii="Times New Roman" w:hAnsi="Times New Roman" w:cs="Times New Roman"/>
                <w:kern w:val="0"/>
              </w:rPr>
              <w:t>7</w:t>
            </w:r>
            <w:r w:rsidRPr="00623E98">
              <w:rPr>
                <w:rFonts w:ascii="Times New Roman" w:hAnsi="Times New Roman" w:cs="Times New Roman"/>
                <w:kern w:val="0"/>
              </w:rPr>
              <w:t>.</w:t>
            </w:r>
          </w:p>
        </w:tc>
        <w:tc>
          <w:tcPr>
            <w:tcW w:w="4170" w:type="dxa"/>
          </w:tcPr>
          <w:p w:rsidR="003D513B" w:rsidRPr="00623E98" w:rsidRDefault="003D513B" w:rsidP="003D513B">
            <w:pPr>
              <w:tabs>
                <w:tab w:val="left" w:pos="851"/>
              </w:tabs>
              <w:autoSpaceDE/>
              <w:autoSpaceDN/>
              <w:spacing w:before="60" w:after="60"/>
              <w:jc w:val="both"/>
              <w:rPr>
                <w:lang w:eastAsia="en-US"/>
              </w:rPr>
            </w:pPr>
            <w:bookmarkStart w:id="1" w:name="OLE_LINK8"/>
            <w:r w:rsidRPr="00623E98">
              <w:rPr>
                <w:lang w:eastAsia="en-US"/>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3D513B" w:rsidRPr="00623E98" w:rsidRDefault="003D513B" w:rsidP="003D513B">
            <w:pPr>
              <w:tabs>
                <w:tab w:val="left" w:pos="851"/>
              </w:tabs>
              <w:autoSpaceDE/>
              <w:autoSpaceDN/>
              <w:spacing w:before="60" w:after="60"/>
              <w:jc w:val="both"/>
              <w:rPr>
                <w:lang w:eastAsia="en-US"/>
              </w:rPr>
            </w:pPr>
            <w:r w:rsidRPr="00623E98">
              <w:rPr>
                <w:lang w:eastAsia="en-US"/>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3D513B" w:rsidRPr="00623E98" w:rsidRDefault="003D513B" w:rsidP="003D513B">
            <w:pPr>
              <w:autoSpaceDE/>
              <w:autoSpaceDN/>
              <w:spacing w:after="120"/>
              <w:jc w:val="both"/>
              <w:rPr>
                <w:lang w:eastAsia="en-US"/>
              </w:rPr>
            </w:pPr>
            <w:r w:rsidRPr="00623E98">
              <w:rPr>
                <w:lang w:eastAsia="en-US"/>
              </w:rPr>
              <w:t xml:space="preserve">Заявка на обмен инвестиционных паев, права на которые учитываются на лицевом счете владельца в реестре владельцев инвестиционных паев, </w:t>
            </w:r>
            <w:r w:rsidRPr="00623E98">
              <w:rPr>
                <w:bCs/>
                <w:lang w:eastAsia="en-US"/>
              </w:rPr>
              <w:t>на инвестиционные паи другого паевого инвестиционного фонда</w:t>
            </w:r>
            <w:r w:rsidRPr="00623E98">
              <w:rPr>
                <w:lang w:eastAsia="en-US"/>
              </w:rPr>
              <w:t>, должна содержать требование об обмене:</w:t>
            </w:r>
          </w:p>
          <w:p w:rsidR="003D513B" w:rsidRPr="00623E98" w:rsidRDefault="003D513B" w:rsidP="003D513B">
            <w:pPr>
              <w:autoSpaceDE/>
              <w:autoSpaceDN/>
              <w:spacing w:after="120"/>
              <w:jc w:val="both"/>
              <w:rPr>
                <w:lang w:eastAsia="en-US"/>
              </w:rPr>
            </w:pPr>
            <w:r w:rsidRPr="00623E98">
              <w:rPr>
                <w:lang w:eastAsia="en-US"/>
              </w:rPr>
              <w:t>- не менее 20 (Двадцати) инвестиционных паев при подаче заявки на обмен инвестиционных паев непосредственно управляющей компании, за исключением подачи заявки на обмен инвестиционных паев в порядке, предусмотренном п. 93.4 настоящих Правил, а также заявкам на обмен инвестиционных паев, поданным управляющей компании номинальным держателем или лицом, действующим в качестве доверительного управляющего. 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3D513B" w:rsidRPr="00623E98" w:rsidRDefault="003D513B" w:rsidP="003D513B">
            <w:pPr>
              <w:autoSpaceDE/>
              <w:autoSpaceDN/>
              <w:spacing w:after="120"/>
              <w:jc w:val="both"/>
              <w:rPr>
                <w:lang w:eastAsia="en-US"/>
              </w:rPr>
            </w:pPr>
            <w:r w:rsidRPr="00623E98">
              <w:rPr>
                <w:lang w:eastAsia="en-US"/>
              </w:rPr>
              <w:t>- не менее 4 (Четырех) инвестиционных паев при подаче заявки на обмен инвестиционных паев управляющей компании в порядке, предусмотренном п. 93.4 настоящих Правил, а также при подаче заявки на обмен инвестиционных паев управляющей компании номинальным держателем.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3D513B" w:rsidRPr="00623E98" w:rsidRDefault="003D513B" w:rsidP="003D513B">
            <w:pPr>
              <w:autoSpaceDE/>
              <w:autoSpaceDN/>
              <w:spacing w:after="120"/>
              <w:jc w:val="both"/>
              <w:rPr>
                <w:lang w:eastAsia="en-US"/>
              </w:rPr>
            </w:pPr>
            <w:r w:rsidRPr="00623E98">
              <w:rPr>
                <w:lang w:eastAsia="en-US"/>
              </w:rPr>
              <w:t xml:space="preserve">-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w:t>
            </w:r>
            <w:r w:rsidRPr="00623E98">
              <w:rPr>
                <w:b/>
                <w:lang w:eastAsia="en-US"/>
              </w:rPr>
              <w:t>4 (Четырех)</w:t>
            </w:r>
            <w:r w:rsidRPr="00623E98">
              <w:rPr>
                <w:lang w:eastAsia="en-US"/>
              </w:rPr>
              <w:t xml:space="preserve"> инвестиционных паев, заявка на обмен инвестиционных паев, </w:t>
            </w:r>
            <w:r w:rsidRPr="00623E98">
              <w:rPr>
                <w:lang w:eastAsia="en-US"/>
              </w:rPr>
              <w:lastRenderedPageBreak/>
              <w:t>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rsidR="003D513B" w:rsidRPr="00623E98" w:rsidRDefault="003D513B" w:rsidP="003D513B">
            <w:pPr>
              <w:tabs>
                <w:tab w:val="left" w:pos="851"/>
              </w:tabs>
              <w:autoSpaceDE/>
              <w:autoSpaceDN/>
              <w:spacing w:before="60" w:after="60"/>
              <w:jc w:val="both"/>
              <w:rPr>
                <w:lang w:eastAsia="en-US"/>
              </w:rPr>
            </w:pPr>
            <w:r w:rsidRPr="00623E98">
              <w:rPr>
                <w:lang w:eastAsia="en-US"/>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bookmarkEnd w:id="1"/>
          <w:p w:rsidR="00682D8D" w:rsidRPr="00623E98" w:rsidRDefault="00682D8D" w:rsidP="00682D8D">
            <w:pPr>
              <w:spacing w:after="100"/>
              <w:jc w:val="both"/>
            </w:pPr>
          </w:p>
        </w:tc>
        <w:tc>
          <w:tcPr>
            <w:tcW w:w="4253" w:type="dxa"/>
          </w:tcPr>
          <w:p w:rsidR="003D513B" w:rsidRPr="00623E98" w:rsidRDefault="003D513B" w:rsidP="003D513B">
            <w:pPr>
              <w:tabs>
                <w:tab w:val="left" w:pos="851"/>
              </w:tabs>
              <w:autoSpaceDE/>
              <w:autoSpaceDN/>
              <w:spacing w:before="60" w:after="60"/>
              <w:jc w:val="both"/>
              <w:rPr>
                <w:lang w:eastAsia="en-US"/>
              </w:rPr>
            </w:pPr>
            <w:r w:rsidRPr="00623E98">
              <w:rPr>
                <w:lang w:eastAsia="en-US"/>
              </w:rPr>
              <w:lastRenderedPageBreak/>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3D513B" w:rsidRPr="00623E98" w:rsidRDefault="003D513B" w:rsidP="003D513B">
            <w:pPr>
              <w:tabs>
                <w:tab w:val="left" w:pos="851"/>
              </w:tabs>
              <w:autoSpaceDE/>
              <w:autoSpaceDN/>
              <w:spacing w:before="60" w:after="60"/>
              <w:jc w:val="both"/>
              <w:rPr>
                <w:lang w:eastAsia="en-US"/>
              </w:rPr>
            </w:pPr>
            <w:r w:rsidRPr="00623E98">
              <w:rPr>
                <w:lang w:eastAsia="en-US"/>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3D513B" w:rsidRPr="00623E98" w:rsidRDefault="003D513B" w:rsidP="003D513B">
            <w:pPr>
              <w:autoSpaceDE/>
              <w:autoSpaceDN/>
              <w:spacing w:after="120"/>
              <w:jc w:val="both"/>
              <w:rPr>
                <w:lang w:eastAsia="en-US"/>
              </w:rPr>
            </w:pPr>
            <w:r w:rsidRPr="00623E98">
              <w:rPr>
                <w:lang w:eastAsia="en-US"/>
              </w:rPr>
              <w:t xml:space="preserve">Заявка на обмен инвестиционных паев, права на которые учитываются на лицевом счете владельца в реестре владельцев инвестиционных паев, </w:t>
            </w:r>
            <w:r w:rsidRPr="00623E98">
              <w:rPr>
                <w:bCs/>
                <w:lang w:eastAsia="en-US"/>
              </w:rPr>
              <w:t>на инвестиционные паи другого паевого инвестиционного фонда</w:t>
            </w:r>
            <w:r w:rsidRPr="00623E98">
              <w:rPr>
                <w:lang w:eastAsia="en-US"/>
              </w:rPr>
              <w:t>, должна содержать требование об обмене:</w:t>
            </w:r>
          </w:p>
          <w:p w:rsidR="003D513B" w:rsidRPr="00623E98" w:rsidRDefault="003D513B" w:rsidP="003D513B">
            <w:pPr>
              <w:autoSpaceDE/>
              <w:autoSpaceDN/>
              <w:spacing w:after="120"/>
              <w:jc w:val="both"/>
              <w:rPr>
                <w:lang w:eastAsia="en-US"/>
              </w:rPr>
            </w:pPr>
            <w:r w:rsidRPr="00623E98">
              <w:rPr>
                <w:lang w:eastAsia="en-US"/>
              </w:rPr>
              <w:t>- не менее 20 (Двадцати) инвестиционных паев при подаче заявки на обмен инвестиционных паев непосредственно управляющей компании, за исключением подачи заявки на обмен инвестиционных паев в порядке, предусмотренном п. 93.4 настоящих Правил, а также заявкам на обмен инвестиционных паев, поданным управляющей компании номинальным держателем или лицом, действующим в качестве доверительного управляющего. 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3D513B" w:rsidRPr="00623E98" w:rsidRDefault="003D513B" w:rsidP="003D513B">
            <w:pPr>
              <w:autoSpaceDE/>
              <w:autoSpaceDN/>
              <w:spacing w:after="120"/>
              <w:jc w:val="both"/>
              <w:rPr>
                <w:lang w:eastAsia="en-US"/>
              </w:rPr>
            </w:pPr>
            <w:r w:rsidRPr="00623E98">
              <w:rPr>
                <w:lang w:eastAsia="en-US"/>
              </w:rPr>
              <w:t>- не менее 4 (Четырех) инвестиционных паев при подаче заявки на обмен инвестиционных паев управляющей компании в порядке, предусмотренном п. 93.4 настоящих Правил, а также при подаче заявки на обмен инвестиционных паев управляющей компании номинальным держателем.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3D513B" w:rsidRPr="00623E98" w:rsidRDefault="003D513B" w:rsidP="003D513B">
            <w:pPr>
              <w:autoSpaceDE/>
              <w:autoSpaceDN/>
              <w:spacing w:after="120"/>
              <w:jc w:val="both"/>
              <w:rPr>
                <w:lang w:eastAsia="en-US"/>
              </w:rPr>
            </w:pPr>
            <w:r w:rsidRPr="00623E98">
              <w:rPr>
                <w:lang w:eastAsia="en-US"/>
              </w:rPr>
              <w:t xml:space="preserve">-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w:t>
            </w:r>
            <w:r w:rsidRPr="00623E98">
              <w:rPr>
                <w:b/>
                <w:lang w:eastAsia="en-US"/>
              </w:rPr>
              <w:t>1 (Одного)</w:t>
            </w:r>
            <w:r w:rsidR="003B6D93" w:rsidRPr="00623E98">
              <w:rPr>
                <w:lang w:eastAsia="en-US"/>
              </w:rPr>
              <w:t xml:space="preserve"> </w:t>
            </w:r>
            <w:r w:rsidR="003B6D93" w:rsidRPr="00623E98">
              <w:rPr>
                <w:b/>
                <w:lang w:eastAsia="en-US"/>
              </w:rPr>
              <w:t>инвестиционного пая</w:t>
            </w:r>
            <w:r w:rsidRPr="00623E98">
              <w:rPr>
                <w:lang w:eastAsia="en-US"/>
              </w:rPr>
              <w:t xml:space="preserve">, заявка на обмен инвестиционных паев, подаваемая управляющей компании, должна содержать </w:t>
            </w:r>
            <w:r w:rsidRPr="00623E98">
              <w:rPr>
                <w:lang w:eastAsia="en-US"/>
              </w:rPr>
              <w:lastRenderedPageBreak/>
              <w:t>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rsidR="003D513B" w:rsidRPr="00623E98" w:rsidRDefault="003D513B" w:rsidP="003D513B">
            <w:pPr>
              <w:tabs>
                <w:tab w:val="left" w:pos="851"/>
              </w:tabs>
              <w:autoSpaceDE/>
              <w:autoSpaceDN/>
              <w:spacing w:before="60" w:after="60"/>
              <w:jc w:val="both"/>
              <w:rPr>
                <w:lang w:eastAsia="en-US"/>
              </w:rPr>
            </w:pPr>
            <w:r w:rsidRPr="00623E98">
              <w:rPr>
                <w:lang w:eastAsia="en-US"/>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682D8D" w:rsidRPr="00623E98" w:rsidRDefault="00682D8D" w:rsidP="00682D8D">
            <w:pPr>
              <w:spacing w:after="100"/>
              <w:jc w:val="both"/>
            </w:pPr>
          </w:p>
        </w:tc>
      </w:tr>
      <w:tr w:rsidR="004C3ADE" w:rsidRPr="00623E98" w:rsidTr="00C1316B">
        <w:trPr>
          <w:trHeight w:val="652"/>
        </w:trPr>
        <w:tc>
          <w:tcPr>
            <w:tcW w:w="568" w:type="dxa"/>
          </w:tcPr>
          <w:p w:rsidR="004C3ADE" w:rsidRPr="00623E98" w:rsidRDefault="00623E98" w:rsidP="00682D8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6</w:t>
            </w:r>
          </w:p>
        </w:tc>
        <w:tc>
          <w:tcPr>
            <w:tcW w:w="1076" w:type="dxa"/>
          </w:tcPr>
          <w:p w:rsidR="004C3ADE" w:rsidRPr="00623E98" w:rsidRDefault="004C3ADE" w:rsidP="00682D8D">
            <w:pPr>
              <w:pStyle w:val="prg3"/>
              <w:numPr>
                <w:ilvl w:val="0"/>
                <w:numId w:val="0"/>
              </w:numPr>
              <w:spacing w:before="0" w:after="120"/>
              <w:jc w:val="center"/>
              <w:rPr>
                <w:rFonts w:ascii="Times New Roman" w:hAnsi="Times New Roman" w:cs="Times New Roman"/>
                <w:kern w:val="0"/>
              </w:rPr>
            </w:pPr>
            <w:r w:rsidRPr="00623E98">
              <w:rPr>
                <w:rFonts w:ascii="Times New Roman" w:hAnsi="Times New Roman" w:cs="Times New Roman"/>
                <w:kern w:val="0"/>
              </w:rPr>
              <w:t>105.</w:t>
            </w:r>
          </w:p>
        </w:tc>
        <w:tc>
          <w:tcPr>
            <w:tcW w:w="4170" w:type="dxa"/>
          </w:tcPr>
          <w:p w:rsidR="004C3ADE" w:rsidRPr="00623E98" w:rsidRDefault="004C3ADE" w:rsidP="004C3ADE">
            <w:pPr>
              <w:tabs>
                <w:tab w:val="left" w:pos="142"/>
                <w:tab w:val="left" w:pos="360"/>
              </w:tabs>
              <w:autoSpaceDE/>
              <w:autoSpaceDN/>
              <w:spacing w:before="60" w:after="60"/>
              <w:jc w:val="both"/>
              <w:rPr>
                <w:lang w:eastAsia="en-US"/>
              </w:rPr>
            </w:pPr>
            <w:r w:rsidRPr="00623E98">
              <w:rPr>
                <w:lang w:eastAsia="en-US"/>
              </w:rPr>
              <w:t>За счет имущества, составляющего фонд, выплачивается вознаграждение управляющей компании в размере 1,5 (Одной целой пяти десятых) процента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 в размере не более 0,5 (Но</w:t>
            </w:r>
            <w:r w:rsidR="006A7A7F" w:rsidRPr="00623E98">
              <w:rPr>
                <w:lang w:eastAsia="en-US"/>
              </w:rPr>
              <w:t xml:space="preserve">ль целых пяти десятых) процента </w:t>
            </w:r>
            <w:r w:rsidRPr="00623E98">
              <w:rPr>
                <w:lang w:eastAsia="en-US"/>
              </w:rPr>
              <w:t>) среднегодовой стоимости чистых активов фонда, определяемой в порядке, установленном нормативными актами в сфере финансовых рынков.</w:t>
            </w:r>
          </w:p>
          <w:p w:rsidR="004C3ADE" w:rsidRPr="00623E98" w:rsidRDefault="004C3ADE" w:rsidP="003D513B">
            <w:pPr>
              <w:tabs>
                <w:tab w:val="left" w:pos="851"/>
              </w:tabs>
              <w:autoSpaceDE/>
              <w:autoSpaceDN/>
              <w:spacing w:before="60" w:after="60"/>
              <w:jc w:val="both"/>
              <w:rPr>
                <w:lang w:eastAsia="en-US"/>
              </w:rPr>
            </w:pPr>
          </w:p>
        </w:tc>
        <w:tc>
          <w:tcPr>
            <w:tcW w:w="4253" w:type="dxa"/>
          </w:tcPr>
          <w:p w:rsidR="004C3ADE" w:rsidRPr="00623E98" w:rsidRDefault="004C3ADE" w:rsidP="004C3ADE">
            <w:pPr>
              <w:tabs>
                <w:tab w:val="left" w:pos="142"/>
                <w:tab w:val="left" w:pos="360"/>
              </w:tabs>
              <w:autoSpaceDE/>
              <w:autoSpaceDN/>
              <w:spacing w:before="60" w:after="60"/>
              <w:jc w:val="both"/>
              <w:rPr>
                <w:lang w:eastAsia="en-US"/>
              </w:rPr>
            </w:pPr>
            <w:r w:rsidRPr="00623E98">
              <w:rPr>
                <w:lang w:eastAsia="en-US"/>
              </w:rPr>
              <w:t xml:space="preserve">За счет имущества, составляющего фонд, выплачивается вознаграждение управляющей компании в размере </w:t>
            </w:r>
            <w:r w:rsidR="00E31C38" w:rsidRPr="00623E98">
              <w:rPr>
                <w:b/>
                <w:lang w:eastAsia="en-US"/>
              </w:rPr>
              <w:t>0,4</w:t>
            </w:r>
            <w:r w:rsidRPr="00623E98">
              <w:rPr>
                <w:b/>
                <w:lang w:eastAsia="en-US"/>
              </w:rPr>
              <w:t> (Ноль целых</w:t>
            </w:r>
            <w:r w:rsidR="00E31C38" w:rsidRPr="00623E98">
              <w:rPr>
                <w:b/>
                <w:lang w:eastAsia="en-US"/>
              </w:rPr>
              <w:t xml:space="preserve"> четыре</w:t>
            </w:r>
            <w:r w:rsidRPr="00623E98">
              <w:rPr>
                <w:b/>
                <w:lang w:eastAsia="en-US"/>
              </w:rPr>
              <w:t xml:space="preserve"> десятых)</w:t>
            </w:r>
            <w:r w:rsidRPr="00623E98">
              <w:rPr>
                <w:lang w:eastAsia="en-US"/>
              </w:rPr>
              <w:t xml:space="preserve"> процента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 в размере не более </w:t>
            </w:r>
            <w:r w:rsidRPr="00623E98">
              <w:rPr>
                <w:b/>
                <w:lang w:eastAsia="en-US"/>
              </w:rPr>
              <w:t>0,</w:t>
            </w:r>
            <w:r w:rsidR="00E31C38" w:rsidRPr="00623E98">
              <w:rPr>
                <w:b/>
                <w:lang w:eastAsia="en-US"/>
              </w:rPr>
              <w:t>2</w:t>
            </w:r>
            <w:r w:rsidRPr="00623E98">
              <w:rPr>
                <w:b/>
                <w:lang w:eastAsia="en-US"/>
              </w:rPr>
              <w:t xml:space="preserve"> (Ноль целых </w:t>
            </w:r>
            <w:r w:rsidR="00E31C38" w:rsidRPr="00623E98">
              <w:rPr>
                <w:b/>
                <w:lang w:eastAsia="en-US"/>
              </w:rPr>
              <w:t>две десятых</w:t>
            </w:r>
            <w:r w:rsidRPr="00623E98">
              <w:rPr>
                <w:b/>
                <w:lang w:eastAsia="en-US"/>
              </w:rPr>
              <w:t>)</w:t>
            </w:r>
            <w:r w:rsidRPr="00623E98">
              <w:rPr>
                <w:lang w:eastAsia="en-US"/>
              </w:rPr>
              <w:t xml:space="preserve"> процент</w:t>
            </w:r>
            <w:r w:rsidR="00611A05" w:rsidRPr="00623E98">
              <w:rPr>
                <w:lang w:eastAsia="en-US"/>
              </w:rPr>
              <w:t>а</w:t>
            </w:r>
            <w:r w:rsidR="006A7A7F" w:rsidRPr="00623E98">
              <w:rPr>
                <w:lang w:eastAsia="en-US"/>
              </w:rPr>
              <w:t xml:space="preserve"> </w:t>
            </w:r>
            <w:r w:rsidRPr="00623E98">
              <w:rPr>
                <w:lang w:eastAsia="en-US"/>
              </w:rPr>
              <w:t>среднегодовой стоимости чистых активов фонда, определяемой в порядке, установленном нормативными актами в сфере финансовых рынков.</w:t>
            </w:r>
          </w:p>
          <w:p w:rsidR="004C3ADE" w:rsidRPr="00623E98" w:rsidRDefault="004C3ADE" w:rsidP="003D513B">
            <w:pPr>
              <w:tabs>
                <w:tab w:val="left" w:pos="851"/>
              </w:tabs>
              <w:autoSpaceDE/>
              <w:autoSpaceDN/>
              <w:spacing w:before="60" w:after="60"/>
              <w:jc w:val="both"/>
              <w:rPr>
                <w:lang w:eastAsia="en-US"/>
              </w:rPr>
            </w:pPr>
          </w:p>
        </w:tc>
      </w:tr>
      <w:tr w:rsidR="006A7A7F" w:rsidRPr="00623E98" w:rsidTr="00C1316B">
        <w:trPr>
          <w:trHeight w:val="652"/>
        </w:trPr>
        <w:tc>
          <w:tcPr>
            <w:tcW w:w="568" w:type="dxa"/>
          </w:tcPr>
          <w:p w:rsidR="006A7A7F" w:rsidRPr="00623E98" w:rsidRDefault="00623E98" w:rsidP="00682D8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7</w:t>
            </w:r>
          </w:p>
        </w:tc>
        <w:tc>
          <w:tcPr>
            <w:tcW w:w="1076" w:type="dxa"/>
          </w:tcPr>
          <w:p w:rsidR="006A7A7F" w:rsidRPr="00623E98" w:rsidRDefault="006A7A7F" w:rsidP="00860DE0">
            <w:pPr>
              <w:pStyle w:val="prg3"/>
              <w:numPr>
                <w:ilvl w:val="0"/>
                <w:numId w:val="0"/>
              </w:numPr>
              <w:spacing w:before="0" w:after="120"/>
              <w:jc w:val="center"/>
              <w:rPr>
                <w:rFonts w:ascii="Times New Roman" w:hAnsi="Times New Roman" w:cs="Times New Roman"/>
                <w:kern w:val="0"/>
                <w:lang w:val="en-US"/>
              </w:rPr>
            </w:pPr>
            <w:r w:rsidRPr="00623E98">
              <w:rPr>
                <w:rFonts w:ascii="Times New Roman" w:hAnsi="Times New Roman" w:cs="Times New Roman"/>
                <w:kern w:val="0"/>
                <w:lang w:val="en-US"/>
              </w:rPr>
              <w:t>108</w:t>
            </w:r>
          </w:p>
        </w:tc>
        <w:tc>
          <w:tcPr>
            <w:tcW w:w="4170" w:type="dxa"/>
          </w:tcPr>
          <w:p w:rsidR="00860DE0" w:rsidRPr="00E44291" w:rsidRDefault="00860DE0" w:rsidP="00860DE0">
            <w:pPr>
              <w:tabs>
                <w:tab w:val="left" w:pos="450"/>
              </w:tabs>
              <w:autoSpaceDE/>
              <w:autoSpaceDN/>
              <w:spacing w:before="60" w:after="60"/>
              <w:jc w:val="both"/>
            </w:pPr>
            <w:r w:rsidRPr="00E44291">
              <w:t>За счет имущества, составляющего фонд, оплачиваются следующие расходы, связанные с доверительным управлением указанным имуществом:</w:t>
            </w:r>
          </w:p>
          <w:p w:rsidR="00860DE0" w:rsidRPr="00E44291" w:rsidRDefault="00860DE0" w:rsidP="00860DE0">
            <w:pPr>
              <w:spacing w:after="120"/>
              <w:ind w:firstLine="426"/>
              <w:jc w:val="both"/>
            </w:pPr>
            <w:r w:rsidRPr="00E44291">
              <w:t>108.1.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w:t>
            </w:r>
          </w:p>
          <w:p w:rsidR="00860DE0" w:rsidRPr="00E44291" w:rsidRDefault="00860DE0" w:rsidP="00860DE0">
            <w:pPr>
              <w:spacing w:after="120"/>
              <w:ind w:firstLine="426"/>
              <w:jc w:val="both"/>
            </w:pPr>
            <w:r w:rsidRPr="00E44291">
              <w:t>108.2.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860DE0" w:rsidRPr="00E44291" w:rsidRDefault="00860DE0" w:rsidP="00860DE0">
            <w:pPr>
              <w:spacing w:after="120"/>
              <w:ind w:firstLine="426"/>
              <w:jc w:val="both"/>
            </w:pPr>
            <w:r w:rsidRPr="00E44291">
              <w:t xml:space="preserve">108.3.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w:t>
            </w:r>
            <w:r w:rsidRPr="00E44291">
              <w:lastRenderedPageBreak/>
              <w:t>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860DE0" w:rsidRPr="00E44291" w:rsidRDefault="00860DE0" w:rsidP="00860DE0">
            <w:pPr>
              <w:spacing w:after="120"/>
              <w:ind w:firstLine="426"/>
              <w:jc w:val="both"/>
            </w:pPr>
            <w:r w:rsidRPr="00E44291">
              <w:t xml:space="preserve">108.4.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w:t>
            </w:r>
          </w:p>
          <w:p w:rsidR="00860DE0" w:rsidRPr="00E44291" w:rsidRDefault="00860DE0" w:rsidP="00860DE0">
            <w:pPr>
              <w:spacing w:after="120"/>
              <w:ind w:firstLine="426"/>
              <w:jc w:val="both"/>
            </w:pPr>
            <w:r w:rsidRPr="00E44291">
              <w:t>108.5. расходы, связанные с осуществлением прав, удостоверенных ценными бумагами, составляющими имущество фонда;</w:t>
            </w:r>
          </w:p>
          <w:p w:rsidR="00860DE0" w:rsidRPr="00E44291" w:rsidRDefault="00860DE0" w:rsidP="00860DE0">
            <w:pPr>
              <w:spacing w:after="120"/>
              <w:ind w:firstLine="426"/>
              <w:jc w:val="both"/>
            </w:pPr>
            <w:r w:rsidRPr="00E44291">
              <w:t>108.6.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860DE0" w:rsidRPr="00E44291" w:rsidRDefault="00860DE0" w:rsidP="00860DE0">
            <w:pPr>
              <w:spacing w:after="120"/>
              <w:ind w:firstLine="426"/>
              <w:jc w:val="both"/>
            </w:pPr>
            <w:r w:rsidRPr="00E44291">
              <w:t>108.7.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860DE0" w:rsidRPr="00E44291" w:rsidRDefault="00860DE0" w:rsidP="00860DE0">
            <w:pPr>
              <w:spacing w:after="120"/>
              <w:ind w:firstLine="426"/>
              <w:jc w:val="both"/>
            </w:pPr>
            <w:r w:rsidRPr="00E44291">
              <w:t>108.8. расходы, связанные с нотариальным свидетельствованием верности копии Правил фонда,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6A7A7F" w:rsidRPr="00623E98" w:rsidRDefault="003A62B5" w:rsidP="006A7A7F">
            <w:pPr>
              <w:autoSpaceDE/>
              <w:autoSpaceDN/>
              <w:spacing w:after="120"/>
              <w:ind w:firstLine="426"/>
              <w:jc w:val="both"/>
              <w:rPr>
                <w:lang w:eastAsia="en-US"/>
              </w:rPr>
            </w:pPr>
            <w:r w:rsidRPr="00623E98">
              <w:rPr>
                <w:lang w:eastAsia="en-US"/>
              </w:rPr>
              <w:t xml:space="preserve">108.9. </w:t>
            </w:r>
            <w:r w:rsidR="006A7A7F" w:rsidRPr="00623E98">
              <w:rPr>
                <w:lang w:eastAsia="en-US"/>
              </w:rPr>
              <w:t xml:space="preserve">иные расходы, не указанные в пункте 108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w:t>
            </w:r>
            <w:r w:rsidR="006A7A7F" w:rsidRPr="00623E98">
              <w:rPr>
                <w:lang w:eastAsia="en-US"/>
              </w:rPr>
              <w:lastRenderedPageBreak/>
              <w:t>среднегодовой стоимости чистых активов фонда.</w:t>
            </w:r>
          </w:p>
          <w:p w:rsidR="006A7A7F" w:rsidRPr="00623E98" w:rsidRDefault="006A7A7F" w:rsidP="006A7A7F">
            <w:pPr>
              <w:autoSpaceDE/>
              <w:autoSpaceDN/>
              <w:spacing w:before="60" w:after="60"/>
              <w:jc w:val="both"/>
              <w:rPr>
                <w:lang w:eastAsia="en-US"/>
              </w:rPr>
            </w:pPr>
            <w:r w:rsidRPr="00623E98">
              <w:rPr>
                <w:lang w:eastAsia="en-US"/>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rsidR="006A7A7F" w:rsidRPr="00623E98" w:rsidRDefault="006A7A7F" w:rsidP="006A7A7F">
            <w:pPr>
              <w:autoSpaceDE/>
              <w:autoSpaceDN/>
              <w:spacing w:before="60" w:after="60"/>
              <w:jc w:val="both"/>
              <w:rPr>
                <w:lang w:eastAsia="en-US"/>
              </w:rPr>
            </w:pPr>
            <w:r w:rsidRPr="00623E98">
              <w:rPr>
                <w:lang w:eastAsia="en-US"/>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0,5 (Ноль целых пять десятых) процента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p w:rsidR="006A7A7F" w:rsidRPr="00623E98" w:rsidRDefault="006A7A7F" w:rsidP="004C3ADE">
            <w:pPr>
              <w:tabs>
                <w:tab w:val="left" w:pos="142"/>
                <w:tab w:val="left" w:pos="360"/>
              </w:tabs>
              <w:autoSpaceDE/>
              <w:autoSpaceDN/>
              <w:spacing w:before="60" w:after="60"/>
              <w:jc w:val="both"/>
              <w:rPr>
                <w:lang w:eastAsia="en-US"/>
              </w:rPr>
            </w:pPr>
          </w:p>
        </w:tc>
        <w:tc>
          <w:tcPr>
            <w:tcW w:w="4253" w:type="dxa"/>
          </w:tcPr>
          <w:p w:rsidR="003A62B5" w:rsidRPr="00E44291" w:rsidRDefault="003A62B5" w:rsidP="003A62B5">
            <w:pPr>
              <w:tabs>
                <w:tab w:val="left" w:pos="450"/>
              </w:tabs>
              <w:autoSpaceDE/>
              <w:autoSpaceDN/>
              <w:spacing w:before="60" w:after="60"/>
              <w:jc w:val="both"/>
            </w:pPr>
            <w:r w:rsidRPr="00E44291">
              <w:lastRenderedPageBreak/>
              <w:t>За счет имущества, составляющего фонд, оплачиваются следующие расходы, связанные с доверительным управлением указанным имуществом:</w:t>
            </w:r>
          </w:p>
          <w:p w:rsidR="003A62B5" w:rsidRPr="00E44291" w:rsidRDefault="003A62B5" w:rsidP="003A62B5">
            <w:pPr>
              <w:spacing w:after="120"/>
              <w:ind w:firstLine="426"/>
              <w:jc w:val="both"/>
            </w:pPr>
            <w:r w:rsidRPr="00E44291">
              <w:t>108.1.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w:t>
            </w:r>
          </w:p>
          <w:p w:rsidR="003A62B5" w:rsidRPr="00E44291" w:rsidRDefault="003A62B5" w:rsidP="003A62B5">
            <w:pPr>
              <w:spacing w:after="120"/>
              <w:ind w:firstLine="426"/>
              <w:jc w:val="both"/>
            </w:pPr>
            <w:r w:rsidRPr="00E44291">
              <w:t>108.2.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3A62B5" w:rsidRPr="00E44291" w:rsidRDefault="003A62B5" w:rsidP="003A62B5">
            <w:pPr>
              <w:spacing w:after="120"/>
              <w:ind w:firstLine="426"/>
              <w:jc w:val="both"/>
            </w:pPr>
            <w:r w:rsidRPr="00E44291">
              <w:t xml:space="preserve">108.3.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w:t>
            </w:r>
            <w:r w:rsidRPr="00E44291">
              <w:lastRenderedPageBreak/>
              <w:t>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320647" w:rsidRPr="00E44291" w:rsidRDefault="00320647" w:rsidP="00320647">
            <w:pPr>
              <w:spacing w:after="120"/>
              <w:ind w:firstLine="426"/>
              <w:jc w:val="both"/>
              <w:rPr>
                <w:b/>
              </w:rPr>
            </w:pPr>
            <w:r w:rsidRPr="00E44291">
              <w:rPr>
                <w:b/>
              </w:rPr>
              <w:t>108.4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3A62B5" w:rsidRPr="00E44291" w:rsidRDefault="003A62B5" w:rsidP="003A62B5">
            <w:pPr>
              <w:spacing w:after="120"/>
              <w:ind w:firstLine="426"/>
              <w:jc w:val="both"/>
            </w:pPr>
            <w:r w:rsidRPr="00E44291">
              <w:rPr>
                <w:b/>
              </w:rPr>
              <w:t>108.</w:t>
            </w:r>
            <w:r w:rsidR="0063724B" w:rsidRPr="00E44291">
              <w:rPr>
                <w:b/>
              </w:rPr>
              <w:t>5</w:t>
            </w:r>
            <w:r w:rsidRPr="00E44291">
              <w:rPr>
                <w:b/>
              </w:rPr>
              <w:t>.</w:t>
            </w:r>
            <w:r w:rsidRPr="00E44291">
              <w:t xml:space="preserve">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w:t>
            </w:r>
          </w:p>
          <w:p w:rsidR="003A62B5" w:rsidRPr="00E44291" w:rsidRDefault="003A62B5" w:rsidP="003A62B5">
            <w:pPr>
              <w:spacing w:after="120"/>
              <w:ind w:firstLine="426"/>
              <w:jc w:val="both"/>
            </w:pPr>
            <w:r w:rsidRPr="00E44291">
              <w:rPr>
                <w:b/>
              </w:rPr>
              <w:t>108.</w:t>
            </w:r>
            <w:r w:rsidR="00515CA7" w:rsidRPr="00E44291">
              <w:rPr>
                <w:b/>
              </w:rPr>
              <w:t>6</w:t>
            </w:r>
            <w:r w:rsidRPr="00E44291">
              <w:rPr>
                <w:b/>
              </w:rPr>
              <w:t>.</w:t>
            </w:r>
            <w:r w:rsidRPr="00E44291">
              <w:t xml:space="preserve"> расходы, связанные с осуществлением прав, удостоверенных ценными бумагами, составляющими имущество фонда</w:t>
            </w:r>
            <w:r w:rsidR="00515CA7" w:rsidRPr="00E44291">
              <w:rPr>
                <w:b/>
              </w:rPr>
              <w:t>, в частности, почтовые или иные аналогичные расходы по направлению бюллетеней для голосования</w:t>
            </w:r>
            <w:r w:rsidRPr="00E44291">
              <w:t>;</w:t>
            </w:r>
          </w:p>
          <w:p w:rsidR="003A62B5" w:rsidRPr="00E44291" w:rsidRDefault="003A62B5" w:rsidP="003A62B5">
            <w:pPr>
              <w:spacing w:after="120"/>
              <w:ind w:firstLine="426"/>
              <w:jc w:val="both"/>
            </w:pPr>
            <w:r w:rsidRPr="00E44291">
              <w:rPr>
                <w:b/>
              </w:rPr>
              <w:t>108.</w:t>
            </w:r>
            <w:r w:rsidR="00515CA7" w:rsidRPr="00E44291">
              <w:rPr>
                <w:b/>
              </w:rPr>
              <w:t>7</w:t>
            </w:r>
            <w:r w:rsidRPr="00E44291">
              <w:rPr>
                <w:b/>
              </w:rPr>
              <w:t>.</w:t>
            </w:r>
            <w:r w:rsidRPr="00E44291">
              <w:t xml:space="preserve">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3A62B5" w:rsidRPr="00E44291" w:rsidRDefault="003A62B5" w:rsidP="003A62B5">
            <w:pPr>
              <w:spacing w:after="120"/>
              <w:ind w:firstLine="426"/>
              <w:jc w:val="both"/>
            </w:pPr>
            <w:r w:rsidRPr="00E44291">
              <w:rPr>
                <w:b/>
              </w:rPr>
              <w:t>108.</w:t>
            </w:r>
            <w:r w:rsidR="00515CA7" w:rsidRPr="00E44291">
              <w:rPr>
                <w:b/>
              </w:rPr>
              <w:t>8</w:t>
            </w:r>
            <w:r w:rsidRPr="00E44291">
              <w:rPr>
                <w:b/>
              </w:rPr>
              <w:t>.</w:t>
            </w:r>
            <w:r w:rsidRPr="00E44291">
              <w:t xml:space="preserve">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3A62B5" w:rsidRPr="00E44291" w:rsidRDefault="003A62B5" w:rsidP="003A62B5">
            <w:pPr>
              <w:spacing w:after="120"/>
              <w:ind w:firstLine="426"/>
              <w:jc w:val="both"/>
            </w:pPr>
            <w:r w:rsidRPr="00E44291">
              <w:rPr>
                <w:b/>
              </w:rPr>
              <w:t>108.</w:t>
            </w:r>
            <w:r w:rsidR="00515CA7" w:rsidRPr="00E44291">
              <w:rPr>
                <w:b/>
              </w:rPr>
              <w:t>9</w:t>
            </w:r>
            <w:r w:rsidRPr="00E44291">
              <w:rPr>
                <w:b/>
              </w:rPr>
              <w:t>.</w:t>
            </w:r>
            <w:r w:rsidRPr="00E44291">
              <w:t xml:space="preserve"> расходы, связанные с нотариальным свидетельствованием верности копии Правил фонда,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466A07" w:rsidRPr="00623E98" w:rsidRDefault="00466A07" w:rsidP="006A7A7F">
            <w:pPr>
              <w:autoSpaceDE/>
              <w:autoSpaceDN/>
              <w:spacing w:after="120"/>
              <w:jc w:val="both"/>
              <w:rPr>
                <w:b/>
                <w:lang w:eastAsia="en-US"/>
              </w:rPr>
            </w:pPr>
            <w:r w:rsidRPr="00623E98">
              <w:rPr>
                <w:b/>
                <w:lang w:eastAsia="en-US"/>
              </w:rPr>
              <w:lastRenderedPageBreak/>
              <w:t xml:space="preserve">108.10. </w:t>
            </w:r>
            <w:r w:rsidRPr="00E44291">
              <w:rPr>
                <w:b/>
              </w:rPr>
              <w:t>расходы, связанные с уплатой государственной пошлины за рассмотрение ходатайства,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rsidR="006A7A7F" w:rsidRPr="00623E98" w:rsidRDefault="00466A07" w:rsidP="006A7A7F">
            <w:pPr>
              <w:autoSpaceDE/>
              <w:autoSpaceDN/>
              <w:spacing w:after="120"/>
              <w:jc w:val="both"/>
              <w:rPr>
                <w:lang w:eastAsia="en-US"/>
              </w:rPr>
            </w:pPr>
            <w:r w:rsidRPr="00623E98">
              <w:rPr>
                <w:b/>
                <w:lang w:eastAsia="en-US"/>
              </w:rPr>
              <w:t>108.11</w:t>
            </w:r>
            <w:r w:rsidRPr="00623E98">
              <w:rPr>
                <w:lang w:eastAsia="en-US"/>
              </w:rPr>
              <w:t xml:space="preserve"> </w:t>
            </w:r>
            <w:r w:rsidR="006A7A7F" w:rsidRPr="00623E98">
              <w:rPr>
                <w:lang w:eastAsia="en-US"/>
              </w:rPr>
              <w:t>иные расходы, не указанные в пункте 108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rsidR="006A7A7F" w:rsidRPr="00623E98" w:rsidRDefault="006A7A7F" w:rsidP="006A7A7F">
            <w:pPr>
              <w:autoSpaceDE/>
              <w:autoSpaceDN/>
              <w:spacing w:before="60" w:after="60"/>
              <w:jc w:val="both"/>
              <w:rPr>
                <w:lang w:eastAsia="en-US"/>
              </w:rPr>
            </w:pPr>
            <w:r w:rsidRPr="00623E98">
              <w:rPr>
                <w:lang w:eastAsia="en-US"/>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rsidR="006A7A7F" w:rsidRPr="00623E98" w:rsidRDefault="006A7A7F" w:rsidP="006A7A7F">
            <w:pPr>
              <w:autoSpaceDE/>
              <w:autoSpaceDN/>
              <w:spacing w:before="60" w:after="60"/>
              <w:jc w:val="both"/>
              <w:rPr>
                <w:lang w:eastAsia="en-US"/>
              </w:rPr>
            </w:pPr>
            <w:r w:rsidRPr="00623E98">
              <w:rPr>
                <w:lang w:eastAsia="en-US"/>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w:t>
            </w:r>
            <w:r w:rsidR="00E31C38" w:rsidRPr="00623E98">
              <w:rPr>
                <w:b/>
                <w:lang w:eastAsia="en-US"/>
              </w:rPr>
              <w:t>0,2 (Ноль целых две десятых</w:t>
            </w:r>
            <w:r w:rsidRPr="00623E98">
              <w:rPr>
                <w:b/>
                <w:lang w:eastAsia="en-US"/>
              </w:rPr>
              <w:t>) процента</w:t>
            </w:r>
            <w:r w:rsidRPr="00623E98">
              <w:rPr>
                <w:lang w:eastAsia="en-US"/>
              </w:rPr>
              <w:t xml:space="preserve">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p w:rsidR="006A7A7F" w:rsidRPr="00623E98" w:rsidRDefault="006A7A7F" w:rsidP="004C3ADE">
            <w:pPr>
              <w:tabs>
                <w:tab w:val="left" w:pos="142"/>
                <w:tab w:val="left" w:pos="360"/>
              </w:tabs>
              <w:autoSpaceDE/>
              <w:autoSpaceDN/>
              <w:spacing w:before="60" w:after="60"/>
              <w:jc w:val="both"/>
              <w:rPr>
                <w:lang w:eastAsia="en-US"/>
              </w:rPr>
            </w:pPr>
          </w:p>
        </w:tc>
      </w:tr>
      <w:tr w:rsidR="009167AF" w:rsidRPr="00623E98" w:rsidTr="00C1316B">
        <w:trPr>
          <w:trHeight w:val="652"/>
        </w:trPr>
        <w:tc>
          <w:tcPr>
            <w:tcW w:w="568" w:type="dxa"/>
          </w:tcPr>
          <w:p w:rsidR="009167AF" w:rsidRPr="00623E98" w:rsidRDefault="00623E98" w:rsidP="00682D8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8</w:t>
            </w:r>
          </w:p>
        </w:tc>
        <w:tc>
          <w:tcPr>
            <w:tcW w:w="1076" w:type="dxa"/>
          </w:tcPr>
          <w:p w:rsidR="009167AF" w:rsidRPr="00623E98" w:rsidRDefault="009167AF" w:rsidP="00682D8D">
            <w:pPr>
              <w:pStyle w:val="prg3"/>
              <w:numPr>
                <w:ilvl w:val="0"/>
                <w:numId w:val="0"/>
              </w:numPr>
              <w:spacing w:before="0" w:after="120"/>
              <w:jc w:val="center"/>
              <w:rPr>
                <w:rFonts w:ascii="Times New Roman" w:hAnsi="Times New Roman" w:cs="Times New Roman"/>
                <w:kern w:val="0"/>
              </w:rPr>
            </w:pPr>
            <w:r w:rsidRPr="00623E98">
              <w:rPr>
                <w:rFonts w:ascii="Times New Roman" w:hAnsi="Times New Roman" w:cs="Times New Roman"/>
                <w:kern w:val="0"/>
              </w:rPr>
              <w:t>109.</w:t>
            </w:r>
          </w:p>
        </w:tc>
        <w:tc>
          <w:tcPr>
            <w:tcW w:w="4170" w:type="dxa"/>
          </w:tcPr>
          <w:p w:rsidR="009167AF" w:rsidRPr="00623E98" w:rsidRDefault="009167AF" w:rsidP="006A7A7F">
            <w:pPr>
              <w:autoSpaceDE/>
              <w:autoSpaceDN/>
              <w:spacing w:after="120"/>
              <w:ind w:firstLine="426"/>
              <w:jc w:val="both"/>
              <w:rPr>
                <w:lang w:eastAsia="en-US"/>
              </w:rPr>
            </w:pPr>
            <w:r w:rsidRPr="00623E98">
              <w:t>Расходы, не предусмотренные пунктом 108 настоящих Правил, а также вознаграждения в части, превышения размеров, указанных в пункте 105 настоящих Правил, или 2,0 (Двух) процентов среднегодовой стоимости чистых активов фонда, выплачиваются управляющей компанией за счет своих собственных средств</w:t>
            </w:r>
            <w:r w:rsidR="0031133D" w:rsidRPr="00623E98">
              <w:t>.</w:t>
            </w:r>
          </w:p>
        </w:tc>
        <w:tc>
          <w:tcPr>
            <w:tcW w:w="4253" w:type="dxa"/>
          </w:tcPr>
          <w:p w:rsidR="009167AF" w:rsidRPr="00623E98" w:rsidRDefault="009167AF" w:rsidP="0031133D">
            <w:pPr>
              <w:autoSpaceDE/>
              <w:autoSpaceDN/>
              <w:spacing w:after="120"/>
              <w:jc w:val="both"/>
              <w:rPr>
                <w:lang w:eastAsia="en-US"/>
              </w:rPr>
            </w:pPr>
            <w:r w:rsidRPr="00623E98">
              <w:t xml:space="preserve">Расходы, не предусмотренные пунктом 108 настоящих Правил, а также вознаграждения в части, превышения размеров, указанных в пункте 105 настоящих Правил, или </w:t>
            </w:r>
            <w:r w:rsidR="00E31C38" w:rsidRPr="00623E98">
              <w:rPr>
                <w:b/>
              </w:rPr>
              <w:t>0,</w:t>
            </w:r>
            <w:r w:rsidR="0031133D" w:rsidRPr="00623E98">
              <w:rPr>
                <w:b/>
              </w:rPr>
              <w:t>6</w:t>
            </w:r>
            <w:r w:rsidRPr="00623E98">
              <w:rPr>
                <w:b/>
              </w:rPr>
              <w:t xml:space="preserve"> (Ноль целых </w:t>
            </w:r>
            <w:r w:rsidR="0031133D" w:rsidRPr="00623E98">
              <w:rPr>
                <w:b/>
              </w:rPr>
              <w:t>шесть</w:t>
            </w:r>
            <w:r w:rsidR="00D87F71" w:rsidRPr="00623E98">
              <w:rPr>
                <w:b/>
              </w:rPr>
              <w:t xml:space="preserve"> десятых</w:t>
            </w:r>
            <w:r w:rsidRPr="00623E98">
              <w:rPr>
                <w:b/>
              </w:rPr>
              <w:t>)</w:t>
            </w:r>
            <w:r w:rsidRPr="00623E98">
              <w:t xml:space="preserve"> процентов среднегодовой стоимости чистых активов фонда, выплачиваются управляющей компанией за счет своих собственных средств</w:t>
            </w:r>
            <w:r w:rsidR="0031133D" w:rsidRPr="00623E98">
              <w:t>.</w:t>
            </w:r>
          </w:p>
        </w:tc>
      </w:tr>
    </w:tbl>
    <w:p w:rsidR="00E6700B" w:rsidRPr="00623E98"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EF1AC1" w:rsidRPr="00623E98" w:rsidRDefault="00EF1AC1">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1719" w:rsidRPr="00E44291" w:rsidRDefault="00F91719" w:rsidP="009F2579">
      <w:pPr>
        <w:pStyle w:val="fieldcomment"/>
        <w:jc w:val="right"/>
        <w:rPr>
          <w:sz w:val="20"/>
          <w:szCs w:val="20"/>
          <w:lang w:val="ru-RU"/>
        </w:rPr>
      </w:pPr>
    </w:p>
    <w:p w:rsidR="0082095F" w:rsidRPr="00E44291"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r w:rsidRPr="00E44291">
        <w:rPr>
          <w:rFonts w:ascii="Times New Roman" w:hAnsi="Times New Roman" w:cs="Times New Roman"/>
          <w:kern w:val="0"/>
        </w:rPr>
        <w:t>Генеральн</w:t>
      </w:r>
      <w:r w:rsidR="00EA0781">
        <w:rPr>
          <w:rFonts w:ascii="Times New Roman" w:hAnsi="Times New Roman" w:cs="Times New Roman"/>
          <w:kern w:val="0"/>
        </w:rPr>
        <w:t>ый</w:t>
      </w:r>
      <w:r w:rsidR="00313DC0" w:rsidRPr="00E44291">
        <w:rPr>
          <w:rFonts w:ascii="Times New Roman" w:hAnsi="Times New Roman" w:cs="Times New Roman"/>
          <w:kern w:val="0"/>
        </w:rPr>
        <w:t xml:space="preserve"> директор</w:t>
      </w:r>
    </w:p>
    <w:p w:rsidR="00F91719" w:rsidRPr="00313DC0" w:rsidRDefault="00C04081" w:rsidP="00E406B1">
      <w:pPr>
        <w:pStyle w:val="fieldcomment"/>
        <w:rPr>
          <w:rFonts w:ascii="Times New Roman" w:hAnsi="Times New Roman" w:cs="Times New Roman"/>
          <w:lang w:val="ru-RU"/>
        </w:rPr>
      </w:pPr>
      <w:r w:rsidRPr="00E44291">
        <w:rPr>
          <w:rFonts w:ascii="Times New Roman" w:hAnsi="Times New Roman" w:cs="Times New Roman"/>
          <w:sz w:val="20"/>
          <w:szCs w:val="20"/>
          <w:lang w:val="ru-RU"/>
        </w:rPr>
        <w:t xml:space="preserve">ТКБ </w:t>
      </w:r>
      <w:proofErr w:type="spellStart"/>
      <w:r w:rsidRPr="00E44291">
        <w:rPr>
          <w:rFonts w:ascii="Times New Roman" w:hAnsi="Times New Roman" w:cs="Times New Roman"/>
          <w:sz w:val="20"/>
          <w:szCs w:val="20"/>
          <w:lang w:val="ru-RU"/>
        </w:rPr>
        <w:t>Инвестмент</w:t>
      </w:r>
      <w:proofErr w:type="spellEnd"/>
      <w:r w:rsidRPr="00E44291">
        <w:rPr>
          <w:rFonts w:ascii="Times New Roman" w:hAnsi="Times New Roman" w:cs="Times New Roman"/>
          <w:sz w:val="20"/>
          <w:szCs w:val="20"/>
          <w:lang w:val="ru-RU"/>
        </w:rPr>
        <w:t xml:space="preserve"> </w:t>
      </w:r>
      <w:proofErr w:type="spellStart"/>
      <w:r w:rsidRPr="00E44291">
        <w:rPr>
          <w:rFonts w:ascii="Times New Roman" w:hAnsi="Times New Roman" w:cs="Times New Roman"/>
          <w:sz w:val="20"/>
          <w:szCs w:val="20"/>
          <w:lang w:val="ru-RU"/>
        </w:rPr>
        <w:t>Партнерс</w:t>
      </w:r>
      <w:proofErr w:type="spellEnd"/>
      <w:r w:rsidR="0082095F" w:rsidRPr="00E44291">
        <w:rPr>
          <w:rFonts w:ascii="Times New Roman" w:hAnsi="Times New Roman" w:cs="Times New Roman"/>
          <w:sz w:val="20"/>
          <w:szCs w:val="20"/>
          <w:lang w:val="ru-RU"/>
        </w:rPr>
        <w:t xml:space="preserve"> (</w:t>
      </w:r>
      <w:proofErr w:type="gramStart"/>
      <w:r w:rsidR="0082095F" w:rsidRPr="00E44291">
        <w:rPr>
          <w:rFonts w:ascii="Times New Roman" w:hAnsi="Times New Roman" w:cs="Times New Roman"/>
          <w:sz w:val="20"/>
          <w:szCs w:val="20"/>
          <w:lang w:val="ru-RU"/>
        </w:rPr>
        <w:t xml:space="preserve">АО)   </w:t>
      </w:r>
      <w:proofErr w:type="gramEnd"/>
      <w:r w:rsidR="0082095F" w:rsidRPr="00E44291">
        <w:rPr>
          <w:rFonts w:ascii="Times New Roman" w:hAnsi="Times New Roman" w:cs="Times New Roman"/>
          <w:sz w:val="20"/>
          <w:szCs w:val="20"/>
          <w:lang w:val="ru-RU"/>
        </w:rPr>
        <w:t xml:space="preserve">                </w:t>
      </w:r>
      <w:r w:rsidR="00313DC0" w:rsidRPr="00E44291">
        <w:rPr>
          <w:rFonts w:ascii="Times New Roman" w:hAnsi="Times New Roman" w:cs="Times New Roman"/>
          <w:sz w:val="20"/>
          <w:szCs w:val="20"/>
          <w:lang w:val="ru-RU"/>
        </w:rPr>
        <w:t xml:space="preserve">                             </w:t>
      </w:r>
      <w:r w:rsidR="00313DC0" w:rsidRPr="00E44291">
        <w:rPr>
          <w:rFonts w:ascii="Times New Roman" w:hAnsi="Times New Roman" w:cs="Times New Roman"/>
          <w:sz w:val="20"/>
          <w:szCs w:val="20"/>
          <w:lang w:val="ru-RU"/>
        </w:rPr>
        <w:tab/>
      </w:r>
      <w:r w:rsidR="00FA2067" w:rsidRPr="00E44291">
        <w:rPr>
          <w:rFonts w:ascii="Times New Roman" w:hAnsi="Times New Roman" w:cs="Times New Roman"/>
          <w:sz w:val="20"/>
          <w:szCs w:val="20"/>
          <w:lang w:val="ru-RU"/>
        </w:rPr>
        <w:t xml:space="preserve">                  </w:t>
      </w:r>
      <w:r w:rsidR="00313DC0" w:rsidRPr="00E44291">
        <w:rPr>
          <w:rFonts w:ascii="Times New Roman" w:hAnsi="Times New Roman" w:cs="Times New Roman"/>
          <w:sz w:val="20"/>
          <w:szCs w:val="20"/>
          <w:lang w:val="ru-RU"/>
        </w:rPr>
        <w:tab/>
      </w:r>
      <w:r w:rsidR="00FA2067" w:rsidRPr="00E44291">
        <w:rPr>
          <w:rFonts w:ascii="Times New Roman" w:hAnsi="Times New Roman" w:cs="Times New Roman"/>
          <w:sz w:val="20"/>
          <w:szCs w:val="20"/>
          <w:lang w:val="ru-RU"/>
        </w:rPr>
        <w:t xml:space="preserve">     </w:t>
      </w:r>
      <w:r w:rsidR="009A4BC8" w:rsidRPr="00E44291">
        <w:rPr>
          <w:rFonts w:ascii="Times New Roman" w:hAnsi="Times New Roman" w:cs="Times New Roman"/>
          <w:sz w:val="20"/>
          <w:szCs w:val="20"/>
          <w:lang w:val="ru-RU"/>
        </w:rPr>
        <w:t xml:space="preserve">              </w:t>
      </w:r>
      <w:proofErr w:type="spellStart"/>
      <w:r w:rsidR="00EA0781">
        <w:rPr>
          <w:rFonts w:ascii="Times New Roman" w:hAnsi="Times New Roman" w:cs="Times New Roman"/>
          <w:sz w:val="20"/>
          <w:szCs w:val="20"/>
          <w:lang w:val="ru-RU"/>
        </w:rPr>
        <w:t>В.Е.Кириллов</w:t>
      </w:r>
      <w:proofErr w:type="spellEnd"/>
    </w:p>
    <w:sectPr w:rsidR="00F91719" w:rsidRPr="00313DC0" w:rsidSect="00C04081">
      <w:footerReference w:type="default" r:id="rId11"/>
      <w:pgSz w:w="11906" w:h="16838"/>
      <w:pgMar w:top="568" w:right="851" w:bottom="1134"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1C2" w:rsidRDefault="007451C2" w:rsidP="009C0A43">
      <w:pPr>
        <w:pStyle w:val="BodyNum"/>
      </w:pPr>
      <w:r>
        <w:separator/>
      </w:r>
    </w:p>
  </w:endnote>
  <w:endnote w:type="continuationSeparator" w:id="0">
    <w:p w:rsidR="007451C2" w:rsidRDefault="007451C2"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altName w:val="Times New Roman"/>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436" w:rsidRDefault="008A5094">
    <w:pPr>
      <w:pStyle w:val="Footer"/>
      <w:jc w:val="right"/>
    </w:pPr>
    <w:r>
      <w:fldChar w:fldCharType="begin"/>
    </w:r>
    <w:r w:rsidR="00462436">
      <w:instrText xml:space="preserve"> PAGE   \* MERGEFORMAT </w:instrText>
    </w:r>
    <w:r>
      <w:fldChar w:fldCharType="separate"/>
    </w:r>
    <w:r w:rsidR="00F17FF2">
      <w:rPr>
        <w:noProof/>
      </w:rPr>
      <w:t>15</w:t>
    </w:r>
    <w:r>
      <w:rPr>
        <w:noProof/>
      </w:rPr>
      <w:fldChar w:fldCharType="end"/>
    </w:r>
  </w:p>
  <w:p w:rsidR="00462436" w:rsidRDefault="004624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1C2" w:rsidRDefault="007451C2" w:rsidP="009C0A43">
      <w:pPr>
        <w:pStyle w:val="BodyNum"/>
      </w:pPr>
      <w:r>
        <w:separator/>
      </w:r>
    </w:p>
  </w:footnote>
  <w:footnote w:type="continuationSeparator" w:id="0">
    <w:p w:rsidR="007451C2" w:rsidRDefault="007451C2" w:rsidP="009C0A43">
      <w:pPr>
        <w:pStyle w:val="BodyNum"/>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BAA75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06919"/>
    <w:multiLevelType w:val="hybridMultilevel"/>
    <w:tmpl w:val="62CE0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6" w15:restartNumberingAfterBreak="0">
    <w:nsid w:val="1FB359CD"/>
    <w:multiLevelType w:val="hybridMultilevel"/>
    <w:tmpl w:val="B4E2C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5160AF"/>
    <w:multiLevelType w:val="multilevel"/>
    <w:tmpl w:val="4184E50C"/>
    <w:lvl w:ilvl="0">
      <w:start w:val="1"/>
      <w:numFmt w:val="none"/>
      <w:pStyle w:val="Heading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Heading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NormalIndent"/>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15:restartNumberingAfterBreak="0">
    <w:nsid w:val="29D04B26"/>
    <w:multiLevelType w:val="hybridMultilevel"/>
    <w:tmpl w:val="7A2EA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1" w15:restartNumberingAfterBreak="0">
    <w:nsid w:val="30AF5689"/>
    <w:multiLevelType w:val="hybridMultilevel"/>
    <w:tmpl w:val="1BFAB4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4AB37CBE"/>
    <w:multiLevelType w:val="hybridMultilevel"/>
    <w:tmpl w:val="14EACF4E"/>
    <w:lvl w:ilvl="0" w:tplc="450E841E">
      <w:start w:val="104"/>
      <w:numFmt w:val="decimal"/>
      <w:lvlText w:val="%1."/>
      <w:lvlJc w:val="left"/>
      <w:pPr>
        <w:ind w:left="840" w:hanging="42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5"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7"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9"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2" w15:restartNumberingAfterBreak="0">
    <w:nsid w:val="73FC4F52"/>
    <w:multiLevelType w:val="hybridMultilevel"/>
    <w:tmpl w:val="8DA44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7"/>
  </w:num>
  <w:num w:numId="16">
    <w:abstractNumId w:val="17"/>
  </w:num>
  <w:num w:numId="17">
    <w:abstractNumId w:val="4"/>
  </w:num>
  <w:num w:numId="18">
    <w:abstractNumId w:val="18"/>
  </w:num>
  <w:num w:numId="19">
    <w:abstractNumId w:val="13"/>
  </w:num>
  <w:num w:numId="20">
    <w:abstractNumId w:val="16"/>
  </w:num>
  <w:num w:numId="21">
    <w:abstractNumId w:val="21"/>
  </w:num>
  <w:num w:numId="22">
    <w:abstractNumId w:val="1"/>
  </w:num>
  <w:num w:numId="23">
    <w:abstractNumId w:val="20"/>
  </w:num>
  <w:num w:numId="24">
    <w:abstractNumId w:val="10"/>
  </w:num>
  <w:num w:numId="25">
    <w:abstractNumId w:val="12"/>
  </w:num>
  <w:num w:numId="26">
    <w:abstractNumId w:val="11"/>
  </w:num>
  <w:num w:numId="27">
    <w:abstractNumId w:val="5"/>
  </w:num>
  <w:num w:numId="28">
    <w:abstractNumId w:val="22"/>
  </w:num>
  <w:num w:numId="29">
    <w:abstractNumId w:val="19"/>
  </w:num>
  <w:num w:numId="30">
    <w:abstractNumId w:val="15"/>
  </w:num>
  <w:num w:numId="31">
    <w:abstractNumId w:val="14"/>
  </w:num>
  <w:num w:numId="32">
    <w:abstractNumId w:val="6"/>
  </w:num>
  <w:num w:numId="33">
    <w:abstractNumId w:val="3"/>
  </w:num>
  <w:num w:numId="34">
    <w:abstractNumId w:val="8"/>
  </w:num>
  <w:num w:numId="35">
    <w:abstractNumId w:val="23"/>
  </w:num>
  <w:num w:numId="36">
    <w:abstractNumId w:val="2"/>
  </w:num>
  <w:num w:numId="3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1F79"/>
    <w:rsid w:val="00003760"/>
    <w:rsid w:val="000150EF"/>
    <w:rsid w:val="000171F1"/>
    <w:rsid w:val="0002373E"/>
    <w:rsid w:val="00025B64"/>
    <w:rsid w:val="00026EB7"/>
    <w:rsid w:val="0003296B"/>
    <w:rsid w:val="000331B7"/>
    <w:rsid w:val="000371B3"/>
    <w:rsid w:val="00041EE8"/>
    <w:rsid w:val="000421C2"/>
    <w:rsid w:val="00044418"/>
    <w:rsid w:val="00047A7A"/>
    <w:rsid w:val="00047AD2"/>
    <w:rsid w:val="00050219"/>
    <w:rsid w:val="00052395"/>
    <w:rsid w:val="00053103"/>
    <w:rsid w:val="00053230"/>
    <w:rsid w:val="00055E8F"/>
    <w:rsid w:val="00055F1A"/>
    <w:rsid w:val="000619CF"/>
    <w:rsid w:val="00061EFC"/>
    <w:rsid w:val="000628B8"/>
    <w:rsid w:val="00065709"/>
    <w:rsid w:val="00065D33"/>
    <w:rsid w:val="0007352F"/>
    <w:rsid w:val="0007749A"/>
    <w:rsid w:val="000778AF"/>
    <w:rsid w:val="00090571"/>
    <w:rsid w:val="00092B40"/>
    <w:rsid w:val="00093551"/>
    <w:rsid w:val="00095A86"/>
    <w:rsid w:val="000A4033"/>
    <w:rsid w:val="000A7D43"/>
    <w:rsid w:val="000B12AE"/>
    <w:rsid w:val="000B1C21"/>
    <w:rsid w:val="000B433E"/>
    <w:rsid w:val="000B45F6"/>
    <w:rsid w:val="000B51A8"/>
    <w:rsid w:val="000B69B0"/>
    <w:rsid w:val="000C19F9"/>
    <w:rsid w:val="000C4080"/>
    <w:rsid w:val="000C4842"/>
    <w:rsid w:val="000D14B8"/>
    <w:rsid w:val="000D1576"/>
    <w:rsid w:val="000D30FA"/>
    <w:rsid w:val="000D3A26"/>
    <w:rsid w:val="000D43E3"/>
    <w:rsid w:val="000D7361"/>
    <w:rsid w:val="000E33AB"/>
    <w:rsid w:val="000E7B4F"/>
    <w:rsid w:val="000F041C"/>
    <w:rsid w:val="000F1FA7"/>
    <w:rsid w:val="000F54C1"/>
    <w:rsid w:val="000F58F7"/>
    <w:rsid w:val="000F7B75"/>
    <w:rsid w:val="00110A96"/>
    <w:rsid w:val="00111B48"/>
    <w:rsid w:val="00111D8D"/>
    <w:rsid w:val="001135AD"/>
    <w:rsid w:val="00114FC9"/>
    <w:rsid w:val="001151D1"/>
    <w:rsid w:val="001152A2"/>
    <w:rsid w:val="00115D3D"/>
    <w:rsid w:val="001228CF"/>
    <w:rsid w:val="00123051"/>
    <w:rsid w:val="00126529"/>
    <w:rsid w:val="00126A50"/>
    <w:rsid w:val="00126B2D"/>
    <w:rsid w:val="001324E4"/>
    <w:rsid w:val="00133CF0"/>
    <w:rsid w:val="00140951"/>
    <w:rsid w:val="001414B0"/>
    <w:rsid w:val="00142D36"/>
    <w:rsid w:val="00143E75"/>
    <w:rsid w:val="00145F1E"/>
    <w:rsid w:val="00147924"/>
    <w:rsid w:val="00147B62"/>
    <w:rsid w:val="0015367B"/>
    <w:rsid w:val="00153F15"/>
    <w:rsid w:val="00154565"/>
    <w:rsid w:val="00155879"/>
    <w:rsid w:val="001567B6"/>
    <w:rsid w:val="0015723A"/>
    <w:rsid w:val="00157FDD"/>
    <w:rsid w:val="001605B7"/>
    <w:rsid w:val="00174D16"/>
    <w:rsid w:val="00177B0C"/>
    <w:rsid w:val="00177E74"/>
    <w:rsid w:val="001808A9"/>
    <w:rsid w:val="00181669"/>
    <w:rsid w:val="00181934"/>
    <w:rsid w:val="00181D4D"/>
    <w:rsid w:val="00182FD2"/>
    <w:rsid w:val="001837A3"/>
    <w:rsid w:val="00183ED0"/>
    <w:rsid w:val="00183FF1"/>
    <w:rsid w:val="001847B6"/>
    <w:rsid w:val="0018669B"/>
    <w:rsid w:val="00190BC5"/>
    <w:rsid w:val="001937FD"/>
    <w:rsid w:val="001960CD"/>
    <w:rsid w:val="001A035C"/>
    <w:rsid w:val="001A1829"/>
    <w:rsid w:val="001A4CF5"/>
    <w:rsid w:val="001A60AA"/>
    <w:rsid w:val="001A6482"/>
    <w:rsid w:val="001A7200"/>
    <w:rsid w:val="001A7E84"/>
    <w:rsid w:val="001B23AA"/>
    <w:rsid w:val="001B2435"/>
    <w:rsid w:val="001B3CE7"/>
    <w:rsid w:val="001B40F9"/>
    <w:rsid w:val="001C04B4"/>
    <w:rsid w:val="001C2197"/>
    <w:rsid w:val="001C30B9"/>
    <w:rsid w:val="001C543C"/>
    <w:rsid w:val="001C60E8"/>
    <w:rsid w:val="001C6FDA"/>
    <w:rsid w:val="001C707C"/>
    <w:rsid w:val="001D1F3A"/>
    <w:rsid w:val="001D3610"/>
    <w:rsid w:val="001D781A"/>
    <w:rsid w:val="001D7AA4"/>
    <w:rsid w:val="001E1070"/>
    <w:rsid w:val="001E2726"/>
    <w:rsid w:val="001E4954"/>
    <w:rsid w:val="001E514E"/>
    <w:rsid w:val="001E6976"/>
    <w:rsid w:val="001E6CD0"/>
    <w:rsid w:val="001F04BE"/>
    <w:rsid w:val="001F468A"/>
    <w:rsid w:val="001F4BDB"/>
    <w:rsid w:val="0020226A"/>
    <w:rsid w:val="00202CFA"/>
    <w:rsid w:val="002037B1"/>
    <w:rsid w:val="00203ACE"/>
    <w:rsid w:val="002042E8"/>
    <w:rsid w:val="002043EB"/>
    <w:rsid w:val="00212CA7"/>
    <w:rsid w:val="00214337"/>
    <w:rsid w:val="002164BC"/>
    <w:rsid w:val="0021669C"/>
    <w:rsid w:val="00220B5D"/>
    <w:rsid w:val="002254BE"/>
    <w:rsid w:val="00227175"/>
    <w:rsid w:val="00231947"/>
    <w:rsid w:val="00232022"/>
    <w:rsid w:val="00234BFC"/>
    <w:rsid w:val="00235BA5"/>
    <w:rsid w:val="00237446"/>
    <w:rsid w:val="0024003F"/>
    <w:rsid w:val="002439F2"/>
    <w:rsid w:val="00244E7F"/>
    <w:rsid w:val="00246A04"/>
    <w:rsid w:val="002519E2"/>
    <w:rsid w:val="00254340"/>
    <w:rsid w:val="0025799F"/>
    <w:rsid w:val="00262064"/>
    <w:rsid w:val="002638B1"/>
    <w:rsid w:val="00266080"/>
    <w:rsid w:val="002663F4"/>
    <w:rsid w:val="002710F6"/>
    <w:rsid w:val="00277F4B"/>
    <w:rsid w:val="00280FA8"/>
    <w:rsid w:val="00281E65"/>
    <w:rsid w:val="0028443D"/>
    <w:rsid w:val="00284864"/>
    <w:rsid w:val="00285BD7"/>
    <w:rsid w:val="00287E5B"/>
    <w:rsid w:val="002A1B5E"/>
    <w:rsid w:val="002A3897"/>
    <w:rsid w:val="002A3E1E"/>
    <w:rsid w:val="002A55EB"/>
    <w:rsid w:val="002A5DF1"/>
    <w:rsid w:val="002A6203"/>
    <w:rsid w:val="002A7DA9"/>
    <w:rsid w:val="002B55FB"/>
    <w:rsid w:val="002B669B"/>
    <w:rsid w:val="002B7D48"/>
    <w:rsid w:val="002C59EB"/>
    <w:rsid w:val="002C66CD"/>
    <w:rsid w:val="002D1C2E"/>
    <w:rsid w:val="002D21C0"/>
    <w:rsid w:val="002D285A"/>
    <w:rsid w:val="002D4AA9"/>
    <w:rsid w:val="002D6240"/>
    <w:rsid w:val="002E26DC"/>
    <w:rsid w:val="002E2AD5"/>
    <w:rsid w:val="002E312B"/>
    <w:rsid w:val="002E4747"/>
    <w:rsid w:val="002E5175"/>
    <w:rsid w:val="002E5816"/>
    <w:rsid w:val="002E6797"/>
    <w:rsid w:val="002F28A0"/>
    <w:rsid w:val="002F3812"/>
    <w:rsid w:val="002F3E0A"/>
    <w:rsid w:val="002F628C"/>
    <w:rsid w:val="00300621"/>
    <w:rsid w:val="00301192"/>
    <w:rsid w:val="00301756"/>
    <w:rsid w:val="00302683"/>
    <w:rsid w:val="003041BA"/>
    <w:rsid w:val="003048D0"/>
    <w:rsid w:val="00306085"/>
    <w:rsid w:val="0030624B"/>
    <w:rsid w:val="00307CBF"/>
    <w:rsid w:val="00307CD0"/>
    <w:rsid w:val="0031133D"/>
    <w:rsid w:val="00313B27"/>
    <w:rsid w:val="00313DC0"/>
    <w:rsid w:val="00320647"/>
    <w:rsid w:val="0032147A"/>
    <w:rsid w:val="00323C0E"/>
    <w:rsid w:val="00327342"/>
    <w:rsid w:val="0032753F"/>
    <w:rsid w:val="003329C0"/>
    <w:rsid w:val="00332E2D"/>
    <w:rsid w:val="003331FF"/>
    <w:rsid w:val="003335CA"/>
    <w:rsid w:val="00333BB1"/>
    <w:rsid w:val="003371AD"/>
    <w:rsid w:val="00340103"/>
    <w:rsid w:val="003425C1"/>
    <w:rsid w:val="003439C7"/>
    <w:rsid w:val="00343DD1"/>
    <w:rsid w:val="003479EF"/>
    <w:rsid w:val="003502F1"/>
    <w:rsid w:val="003524A9"/>
    <w:rsid w:val="00352CF2"/>
    <w:rsid w:val="00352D65"/>
    <w:rsid w:val="003574B6"/>
    <w:rsid w:val="00360726"/>
    <w:rsid w:val="00360843"/>
    <w:rsid w:val="00360EB6"/>
    <w:rsid w:val="00361137"/>
    <w:rsid w:val="003618FF"/>
    <w:rsid w:val="00362083"/>
    <w:rsid w:val="00366FED"/>
    <w:rsid w:val="00373312"/>
    <w:rsid w:val="00373AB3"/>
    <w:rsid w:val="0037456B"/>
    <w:rsid w:val="003806C1"/>
    <w:rsid w:val="003816DA"/>
    <w:rsid w:val="00383590"/>
    <w:rsid w:val="00386077"/>
    <w:rsid w:val="00390DBF"/>
    <w:rsid w:val="003911C1"/>
    <w:rsid w:val="00392647"/>
    <w:rsid w:val="003941DF"/>
    <w:rsid w:val="003961AD"/>
    <w:rsid w:val="003A0490"/>
    <w:rsid w:val="003A3BB5"/>
    <w:rsid w:val="003A3EFF"/>
    <w:rsid w:val="003A62B5"/>
    <w:rsid w:val="003A7BA0"/>
    <w:rsid w:val="003B0CC8"/>
    <w:rsid w:val="003B1FB2"/>
    <w:rsid w:val="003B2AEA"/>
    <w:rsid w:val="003B2B36"/>
    <w:rsid w:val="003B6D10"/>
    <w:rsid w:val="003B6D93"/>
    <w:rsid w:val="003C4EAE"/>
    <w:rsid w:val="003C5492"/>
    <w:rsid w:val="003C5617"/>
    <w:rsid w:val="003C6352"/>
    <w:rsid w:val="003C66D8"/>
    <w:rsid w:val="003D262C"/>
    <w:rsid w:val="003D3BE9"/>
    <w:rsid w:val="003D513B"/>
    <w:rsid w:val="003D794C"/>
    <w:rsid w:val="003E1505"/>
    <w:rsid w:val="003F0126"/>
    <w:rsid w:val="003F04EC"/>
    <w:rsid w:val="003F0AEB"/>
    <w:rsid w:val="003F57BD"/>
    <w:rsid w:val="003F76C2"/>
    <w:rsid w:val="003F7730"/>
    <w:rsid w:val="00400C9D"/>
    <w:rsid w:val="00405510"/>
    <w:rsid w:val="00405734"/>
    <w:rsid w:val="00405A93"/>
    <w:rsid w:val="004107A0"/>
    <w:rsid w:val="00410E3A"/>
    <w:rsid w:val="00413134"/>
    <w:rsid w:val="00413B95"/>
    <w:rsid w:val="00415418"/>
    <w:rsid w:val="0041753D"/>
    <w:rsid w:val="00420414"/>
    <w:rsid w:val="00421D28"/>
    <w:rsid w:val="004233E2"/>
    <w:rsid w:val="00424C81"/>
    <w:rsid w:val="00427130"/>
    <w:rsid w:val="0042725F"/>
    <w:rsid w:val="00430288"/>
    <w:rsid w:val="00430ED7"/>
    <w:rsid w:val="00434165"/>
    <w:rsid w:val="0043495B"/>
    <w:rsid w:val="00437936"/>
    <w:rsid w:val="00450D5D"/>
    <w:rsid w:val="00451D6F"/>
    <w:rsid w:val="00453DF8"/>
    <w:rsid w:val="00460236"/>
    <w:rsid w:val="00461D54"/>
    <w:rsid w:val="00462436"/>
    <w:rsid w:val="00466A07"/>
    <w:rsid w:val="00466DF7"/>
    <w:rsid w:val="00466E1F"/>
    <w:rsid w:val="00467612"/>
    <w:rsid w:val="00467F37"/>
    <w:rsid w:val="00470538"/>
    <w:rsid w:val="00471280"/>
    <w:rsid w:val="004719C7"/>
    <w:rsid w:val="0047442D"/>
    <w:rsid w:val="00481F58"/>
    <w:rsid w:val="004827FE"/>
    <w:rsid w:val="0048404B"/>
    <w:rsid w:val="004906A6"/>
    <w:rsid w:val="0049106D"/>
    <w:rsid w:val="00492EB9"/>
    <w:rsid w:val="0049359C"/>
    <w:rsid w:val="00493BBB"/>
    <w:rsid w:val="004960E0"/>
    <w:rsid w:val="00496F37"/>
    <w:rsid w:val="00497B34"/>
    <w:rsid w:val="004A1A49"/>
    <w:rsid w:val="004A1CDB"/>
    <w:rsid w:val="004A2159"/>
    <w:rsid w:val="004A2ABE"/>
    <w:rsid w:val="004A4394"/>
    <w:rsid w:val="004A6061"/>
    <w:rsid w:val="004B0A23"/>
    <w:rsid w:val="004B200D"/>
    <w:rsid w:val="004B362D"/>
    <w:rsid w:val="004B37FA"/>
    <w:rsid w:val="004B3ED6"/>
    <w:rsid w:val="004B527F"/>
    <w:rsid w:val="004B5930"/>
    <w:rsid w:val="004B6A88"/>
    <w:rsid w:val="004C2F81"/>
    <w:rsid w:val="004C3ADE"/>
    <w:rsid w:val="004C5079"/>
    <w:rsid w:val="004C72AE"/>
    <w:rsid w:val="004D3FCF"/>
    <w:rsid w:val="004D40F2"/>
    <w:rsid w:val="004E08EB"/>
    <w:rsid w:val="004E0FC2"/>
    <w:rsid w:val="004E4463"/>
    <w:rsid w:val="004E464B"/>
    <w:rsid w:val="004E4DB9"/>
    <w:rsid w:val="004E6335"/>
    <w:rsid w:val="004F0B78"/>
    <w:rsid w:val="004F2809"/>
    <w:rsid w:val="004F4EA8"/>
    <w:rsid w:val="004F503F"/>
    <w:rsid w:val="00500320"/>
    <w:rsid w:val="00500A7F"/>
    <w:rsid w:val="0050157B"/>
    <w:rsid w:val="00501D44"/>
    <w:rsid w:val="00502354"/>
    <w:rsid w:val="005033BB"/>
    <w:rsid w:val="00503F0C"/>
    <w:rsid w:val="00504E34"/>
    <w:rsid w:val="00505E3E"/>
    <w:rsid w:val="00507707"/>
    <w:rsid w:val="005077B0"/>
    <w:rsid w:val="005129F7"/>
    <w:rsid w:val="0051383C"/>
    <w:rsid w:val="00514B47"/>
    <w:rsid w:val="00515CA7"/>
    <w:rsid w:val="00527E81"/>
    <w:rsid w:val="005304CF"/>
    <w:rsid w:val="00531A18"/>
    <w:rsid w:val="0053433E"/>
    <w:rsid w:val="00535C0B"/>
    <w:rsid w:val="00535DDD"/>
    <w:rsid w:val="00536FEE"/>
    <w:rsid w:val="0054157E"/>
    <w:rsid w:val="0055327B"/>
    <w:rsid w:val="00553649"/>
    <w:rsid w:val="00556250"/>
    <w:rsid w:val="0055679C"/>
    <w:rsid w:val="00562323"/>
    <w:rsid w:val="00562514"/>
    <w:rsid w:val="00562AAE"/>
    <w:rsid w:val="00563844"/>
    <w:rsid w:val="00565A8E"/>
    <w:rsid w:val="00567778"/>
    <w:rsid w:val="00567AFA"/>
    <w:rsid w:val="00567E3F"/>
    <w:rsid w:val="00570C0F"/>
    <w:rsid w:val="00572BE6"/>
    <w:rsid w:val="00572C67"/>
    <w:rsid w:val="00573896"/>
    <w:rsid w:val="00574923"/>
    <w:rsid w:val="005756B8"/>
    <w:rsid w:val="00575AA5"/>
    <w:rsid w:val="00576992"/>
    <w:rsid w:val="00590C48"/>
    <w:rsid w:val="00592E55"/>
    <w:rsid w:val="00595822"/>
    <w:rsid w:val="00596F0F"/>
    <w:rsid w:val="00597405"/>
    <w:rsid w:val="005974E1"/>
    <w:rsid w:val="005A060E"/>
    <w:rsid w:val="005A2738"/>
    <w:rsid w:val="005A27CB"/>
    <w:rsid w:val="005A3DCA"/>
    <w:rsid w:val="005A4E70"/>
    <w:rsid w:val="005A5397"/>
    <w:rsid w:val="005A5D76"/>
    <w:rsid w:val="005B14C8"/>
    <w:rsid w:val="005B17B6"/>
    <w:rsid w:val="005B2A2A"/>
    <w:rsid w:val="005B6A44"/>
    <w:rsid w:val="005B6D6E"/>
    <w:rsid w:val="005B74B8"/>
    <w:rsid w:val="005C0098"/>
    <w:rsid w:val="005C310A"/>
    <w:rsid w:val="005C3B85"/>
    <w:rsid w:val="005C40A7"/>
    <w:rsid w:val="005C4210"/>
    <w:rsid w:val="005C6E9F"/>
    <w:rsid w:val="005D3CC6"/>
    <w:rsid w:val="005D4398"/>
    <w:rsid w:val="005E138A"/>
    <w:rsid w:val="005E7C80"/>
    <w:rsid w:val="005F139E"/>
    <w:rsid w:val="005F41FC"/>
    <w:rsid w:val="005F4FDB"/>
    <w:rsid w:val="00601D63"/>
    <w:rsid w:val="00602C36"/>
    <w:rsid w:val="00604DBC"/>
    <w:rsid w:val="00606B3B"/>
    <w:rsid w:val="00606FA3"/>
    <w:rsid w:val="00607E1D"/>
    <w:rsid w:val="00611A05"/>
    <w:rsid w:val="00612042"/>
    <w:rsid w:val="00614178"/>
    <w:rsid w:val="00622A31"/>
    <w:rsid w:val="00623E98"/>
    <w:rsid w:val="006257FF"/>
    <w:rsid w:val="006268C3"/>
    <w:rsid w:val="00627238"/>
    <w:rsid w:val="006272ED"/>
    <w:rsid w:val="00627320"/>
    <w:rsid w:val="0063186F"/>
    <w:rsid w:val="00631C44"/>
    <w:rsid w:val="00632868"/>
    <w:rsid w:val="00635ACE"/>
    <w:rsid w:val="00636A9D"/>
    <w:rsid w:val="00636EFD"/>
    <w:rsid w:val="0063724B"/>
    <w:rsid w:val="006376E4"/>
    <w:rsid w:val="00641D69"/>
    <w:rsid w:val="00642EA8"/>
    <w:rsid w:val="0064317E"/>
    <w:rsid w:val="006434BD"/>
    <w:rsid w:val="00645410"/>
    <w:rsid w:val="006456E4"/>
    <w:rsid w:val="00653602"/>
    <w:rsid w:val="0066029E"/>
    <w:rsid w:val="00660478"/>
    <w:rsid w:val="0066096F"/>
    <w:rsid w:val="00660D5A"/>
    <w:rsid w:val="00662B2D"/>
    <w:rsid w:val="00664C99"/>
    <w:rsid w:val="00671654"/>
    <w:rsid w:val="00671796"/>
    <w:rsid w:val="0067499B"/>
    <w:rsid w:val="00680F4D"/>
    <w:rsid w:val="00682A90"/>
    <w:rsid w:val="00682D8D"/>
    <w:rsid w:val="00683384"/>
    <w:rsid w:val="00684601"/>
    <w:rsid w:val="00687D20"/>
    <w:rsid w:val="00694141"/>
    <w:rsid w:val="0069495A"/>
    <w:rsid w:val="00694C2F"/>
    <w:rsid w:val="006A3BC4"/>
    <w:rsid w:val="006A7A7F"/>
    <w:rsid w:val="006B00A7"/>
    <w:rsid w:val="006B3723"/>
    <w:rsid w:val="006B4362"/>
    <w:rsid w:val="006B7045"/>
    <w:rsid w:val="006C063F"/>
    <w:rsid w:val="006C4189"/>
    <w:rsid w:val="006C6A78"/>
    <w:rsid w:val="006C73F3"/>
    <w:rsid w:val="006C7B74"/>
    <w:rsid w:val="006D18F8"/>
    <w:rsid w:val="006D1C83"/>
    <w:rsid w:val="006D3B2C"/>
    <w:rsid w:val="006D405D"/>
    <w:rsid w:val="006E3F0E"/>
    <w:rsid w:val="006E5611"/>
    <w:rsid w:val="006E5F39"/>
    <w:rsid w:val="006E6210"/>
    <w:rsid w:val="006E678F"/>
    <w:rsid w:val="006F0B06"/>
    <w:rsid w:val="006F23CA"/>
    <w:rsid w:val="006F3C16"/>
    <w:rsid w:val="006F4E0A"/>
    <w:rsid w:val="0070465A"/>
    <w:rsid w:val="00704E5F"/>
    <w:rsid w:val="007056B9"/>
    <w:rsid w:val="00706100"/>
    <w:rsid w:val="00714677"/>
    <w:rsid w:val="00715BDC"/>
    <w:rsid w:val="00715FC2"/>
    <w:rsid w:val="00722023"/>
    <w:rsid w:val="007226E6"/>
    <w:rsid w:val="00724C57"/>
    <w:rsid w:val="0072782D"/>
    <w:rsid w:val="00727F8B"/>
    <w:rsid w:val="0073191C"/>
    <w:rsid w:val="00733FAC"/>
    <w:rsid w:val="00736D17"/>
    <w:rsid w:val="0073730B"/>
    <w:rsid w:val="0074019A"/>
    <w:rsid w:val="0074089D"/>
    <w:rsid w:val="007433E2"/>
    <w:rsid w:val="007449EC"/>
    <w:rsid w:val="007451C2"/>
    <w:rsid w:val="00750C00"/>
    <w:rsid w:val="0075272F"/>
    <w:rsid w:val="007527B9"/>
    <w:rsid w:val="00752DC2"/>
    <w:rsid w:val="00753E19"/>
    <w:rsid w:val="007555C5"/>
    <w:rsid w:val="00757D7A"/>
    <w:rsid w:val="00761408"/>
    <w:rsid w:val="00767556"/>
    <w:rsid w:val="00775C38"/>
    <w:rsid w:val="007769DF"/>
    <w:rsid w:val="00777B83"/>
    <w:rsid w:val="00784AA2"/>
    <w:rsid w:val="007850C5"/>
    <w:rsid w:val="00785787"/>
    <w:rsid w:val="00785C75"/>
    <w:rsid w:val="0078609C"/>
    <w:rsid w:val="0079547E"/>
    <w:rsid w:val="007A044E"/>
    <w:rsid w:val="007A4851"/>
    <w:rsid w:val="007A7E13"/>
    <w:rsid w:val="007B0063"/>
    <w:rsid w:val="007B29E9"/>
    <w:rsid w:val="007B32EC"/>
    <w:rsid w:val="007B46D5"/>
    <w:rsid w:val="007B4D76"/>
    <w:rsid w:val="007C0132"/>
    <w:rsid w:val="007C2C74"/>
    <w:rsid w:val="007C43FD"/>
    <w:rsid w:val="007C51F7"/>
    <w:rsid w:val="007C7674"/>
    <w:rsid w:val="007D0F4E"/>
    <w:rsid w:val="007D13CE"/>
    <w:rsid w:val="007E1BDC"/>
    <w:rsid w:val="007E21B2"/>
    <w:rsid w:val="007E2C28"/>
    <w:rsid w:val="007E54D8"/>
    <w:rsid w:val="007E5A1F"/>
    <w:rsid w:val="007E7C30"/>
    <w:rsid w:val="007F034F"/>
    <w:rsid w:val="007F2C52"/>
    <w:rsid w:val="007F49F3"/>
    <w:rsid w:val="00802743"/>
    <w:rsid w:val="00803476"/>
    <w:rsid w:val="008078DD"/>
    <w:rsid w:val="00807F49"/>
    <w:rsid w:val="00810B5E"/>
    <w:rsid w:val="0081156F"/>
    <w:rsid w:val="008154C1"/>
    <w:rsid w:val="00816D97"/>
    <w:rsid w:val="008203FB"/>
    <w:rsid w:val="0082095F"/>
    <w:rsid w:val="00826700"/>
    <w:rsid w:val="0082798C"/>
    <w:rsid w:val="00827BD8"/>
    <w:rsid w:val="00831D02"/>
    <w:rsid w:val="00832A69"/>
    <w:rsid w:val="008336B3"/>
    <w:rsid w:val="008347D7"/>
    <w:rsid w:val="00840BF8"/>
    <w:rsid w:val="0084685B"/>
    <w:rsid w:val="00846D2D"/>
    <w:rsid w:val="008509EF"/>
    <w:rsid w:val="008530C0"/>
    <w:rsid w:val="00855E88"/>
    <w:rsid w:val="00856066"/>
    <w:rsid w:val="0085660D"/>
    <w:rsid w:val="00856849"/>
    <w:rsid w:val="00857793"/>
    <w:rsid w:val="00860DE0"/>
    <w:rsid w:val="00860E97"/>
    <w:rsid w:val="008627C2"/>
    <w:rsid w:val="00863AE8"/>
    <w:rsid w:val="0086568E"/>
    <w:rsid w:val="00865E00"/>
    <w:rsid w:val="00866CE0"/>
    <w:rsid w:val="008706CC"/>
    <w:rsid w:val="008716DB"/>
    <w:rsid w:val="00871CE5"/>
    <w:rsid w:val="00872E9A"/>
    <w:rsid w:val="00873B35"/>
    <w:rsid w:val="00874A1A"/>
    <w:rsid w:val="0088039F"/>
    <w:rsid w:val="00882EDB"/>
    <w:rsid w:val="008846B9"/>
    <w:rsid w:val="00884908"/>
    <w:rsid w:val="0088788B"/>
    <w:rsid w:val="00887A8D"/>
    <w:rsid w:val="008912A1"/>
    <w:rsid w:val="0089343C"/>
    <w:rsid w:val="00893762"/>
    <w:rsid w:val="00893FA8"/>
    <w:rsid w:val="00894FF0"/>
    <w:rsid w:val="008A0AF2"/>
    <w:rsid w:val="008A5094"/>
    <w:rsid w:val="008B2ACE"/>
    <w:rsid w:val="008B48A1"/>
    <w:rsid w:val="008B6A69"/>
    <w:rsid w:val="008C127E"/>
    <w:rsid w:val="008C289B"/>
    <w:rsid w:val="008D132C"/>
    <w:rsid w:val="008D444A"/>
    <w:rsid w:val="008D4636"/>
    <w:rsid w:val="008D56BF"/>
    <w:rsid w:val="008D7348"/>
    <w:rsid w:val="008D7DC1"/>
    <w:rsid w:val="008E42BD"/>
    <w:rsid w:val="008E5619"/>
    <w:rsid w:val="008E758D"/>
    <w:rsid w:val="008F0B83"/>
    <w:rsid w:val="008F0BF4"/>
    <w:rsid w:val="008F2067"/>
    <w:rsid w:val="0090132B"/>
    <w:rsid w:val="009167AF"/>
    <w:rsid w:val="00916B1F"/>
    <w:rsid w:val="0091749C"/>
    <w:rsid w:val="0092485D"/>
    <w:rsid w:val="0092616E"/>
    <w:rsid w:val="00930789"/>
    <w:rsid w:val="00931405"/>
    <w:rsid w:val="00931E98"/>
    <w:rsid w:val="00933833"/>
    <w:rsid w:val="009366CF"/>
    <w:rsid w:val="00941983"/>
    <w:rsid w:val="00943506"/>
    <w:rsid w:val="009473CE"/>
    <w:rsid w:val="0094751C"/>
    <w:rsid w:val="00950F43"/>
    <w:rsid w:val="009517D7"/>
    <w:rsid w:val="00952493"/>
    <w:rsid w:val="00952A84"/>
    <w:rsid w:val="00953BF6"/>
    <w:rsid w:val="00960F94"/>
    <w:rsid w:val="00961A01"/>
    <w:rsid w:val="00961D05"/>
    <w:rsid w:val="00963B0E"/>
    <w:rsid w:val="00963B7F"/>
    <w:rsid w:val="0096458A"/>
    <w:rsid w:val="00964FD8"/>
    <w:rsid w:val="00966505"/>
    <w:rsid w:val="009820B4"/>
    <w:rsid w:val="009823E1"/>
    <w:rsid w:val="00982839"/>
    <w:rsid w:val="00992AA4"/>
    <w:rsid w:val="00997443"/>
    <w:rsid w:val="009A12E7"/>
    <w:rsid w:val="009A2A01"/>
    <w:rsid w:val="009A4BC8"/>
    <w:rsid w:val="009A6901"/>
    <w:rsid w:val="009A6D5F"/>
    <w:rsid w:val="009A7B61"/>
    <w:rsid w:val="009B0FB0"/>
    <w:rsid w:val="009B2F67"/>
    <w:rsid w:val="009B4779"/>
    <w:rsid w:val="009B7B18"/>
    <w:rsid w:val="009C0A43"/>
    <w:rsid w:val="009C0B67"/>
    <w:rsid w:val="009C0E54"/>
    <w:rsid w:val="009C3465"/>
    <w:rsid w:val="009C6011"/>
    <w:rsid w:val="009C6AB4"/>
    <w:rsid w:val="009C7338"/>
    <w:rsid w:val="009D0BD8"/>
    <w:rsid w:val="009D35F4"/>
    <w:rsid w:val="009D3BD0"/>
    <w:rsid w:val="009D6104"/>
    <w:rsid w:val="009E1605"/>
    <w:rsid w:val="009E3F46"/>
    <w:rsid w:val="009E697E"/>
    <w:rsid w:val="009E714E"/>
    <w:rsid w:val="009F0AC2"/>
    <w:rsid w:val="009F2579"/>
    <w:rsid w:val="009F3A2E"/>
    <w:rsid w:val="009F43B2"/>
    <w:rsid w:val="009F65A6"/>
    <w:rsid w:val="009F6DA6"/>
    <w:rsid w:val="00A014AE"/>
    <w:rsid w:val="00A01E3F"/>
    <w:rsid w:val="00A02E6F"/>
    <w:rsid w:val="00A04514"/>
    <w:rsid w:val="00A061C6"/>
    <w:rsid w:val="00A06393"/>
    <w:rsid w:val="00A0708F"/>
    <w:rsid w:val="00A11142"/>
    <w:rsid w:val="00A1344E"/>
    <w:rsid w:val="00A14CAE"/>
    <w:rsid w:val="00A15C42"/>
    <w:rsid w:val="00A16334"/>
    <w:rsid w:val="00A1799B"/>
    <w:rsid w:val="00A237E5"/>
    <w:rsid w:val="00A30606"/>
    <w:rsid w:val="00A30B86"/>
    <w:rsid w:val="00A340FC"/>
    <w:rsid w:val="00A37019"/>
    <w:rsid w:val="00A4032A"/>
    <w:rsid w:val="00A40D17"/>
    <w:rsid w:val="00A44186"/>
    <w:rsid w:val="00A4581D"/>
    <w:rsid w:val="00A459FB"/>
    <w:rsid w:val="00A4615C"/>
    <w:rsid w:val="00A507C9"/>
    <w:rsid w:val="00A56282"/>
    <w:rsid w:val="00A5635A"/>
    <w:rsid w:val="00A62F5E"/>
    <w:rsid w:val="00A650F4"/>
    <w:rsid w:val="00A675E1"/>
    <w:rsid w:val="00A73BA1"/>
    <w:rsid w:val="00A75629"/>
    <w:rsid w:val="00A757BD"/>
    <w:rsid w:val="00A76D00"/>
    <w:rsid w:val="00A77BB6"/>
    <w:rsid w:val="00A81969"/>
    <w:rsid w:val="00A83858"/>
    <w:rsid w:val="00A8568D"/>
    <w:rsid w:val="00A92D22"/>
    <w:rsid w:val="00A95365"/>
    <w:rsid w:val="00A9581C"/>
    <w:rsid w:val="00AA1820"/>
    <w:rsid w:val="00AA3F90"/>
    <w:rsid w:val="00AA3FE3"/>
    <w:rsid w:val="00AA64F1"/>
    <w:rsid w:val="00AA741D"/>
    <w:rsid w:val="00AB006E"/>
    <w:rsid w:val="00AB2DC1"/>
    <w:rsid w:val="00AB673E"/>
    <w:rsid w:val="00AB6954"/>
    <w:rsid w:val="00AB770E"/>
    <w:rsid w:val="00AC0DAD"/>
    <w:rsid w:val="00AC4D63"/>
    <w:rsid w:val="00AC7643"/>
    <w:rsid w:val="00AD1E79"/>
    <w:rsid w:val="00AD4B9E"/>
    <w:rsid w:val="00AD7900"/>
    <w:rsid w:val="00AD7C2D"/>
    <w:rsid w:val="00AE3829"/>
    <w:rsid w:val="00AF0324"/>
    <w:rsid w:val="00AF3FE6"/>
    <w:rsid w:val="00AF5898"/>
    <w:rsid w:val="00AF5C18"/>
    <w:rsid w:val="00B003EF"/>
    <w:rsid w:val="00B00E57"/>
    <w:rsid w:val="00B0355C"/>
    <w:rsid w:val="00B04683"/>
    <w:rsid w:val="00B04FA2"/>
    <w:rsid w:val="00B07B1D"/>
    <w:rsid w:val="00B10314"/>
    <w:rsid w:val="00B1069A"/>
    <w:rsid w:val="00B113F3"/>
    <w:rsid w:val="00B123BB"/>
    <w:rsid w:val="00B1254B"/>
    <w:rsid w:val="00B14385"/>
    <w:rsid w:val="00B16E19"/>
    <w:rsid w:val="00B17643"/>
    <w:rsid w:val="00B20607"/>
    <w:rsid w:val="00B311C2"/>
    <w:rsid w:val="00B47715"/>
    <w:rsid w:val="00B656AB"/>
    <w:rsid w:val="00B7158B"/>
    <w:rsid w:val="00B748AC"/>
    <w:rsid w:val="00B841D9"/>
    <w:rsid w:val="00B858DB"/>
    <w:rsid w:val="00B86DB8"/>
    <w:rsid w:val="00B919AB"/>
    <w:rsid w:val="00B91DA2"/>
    <w:rsid w:val="00B936D0"/>
    <w:rsid w:val="00B93763"/>
    <w:rsid w:val="00B96A13"/>
    <w:rsid w:val="00BA225F"/>
    <w:rsid w:val="00BA5541"/>
    <w:rsid w:val="00BB1ABD"/>
    <w:rsid w:val="00BB2488"/>
    <w:rsid w:val="00BB2490"/>
    <w:rsid w:val="00BB475C"/>
    <w:rsid w:val="00BB7AB5"/>
    <w:rsid w:val="00BC1E36"/>
    <w:rsid w:val="00BC20B7"/>
    <w:rsid w:val="00BC4E11"/>
    <w:rsid w:val="00BC7486"/>
    <w:rsid w:val="00BC7CC7"/>
    <w:rsid w:val="00BD0806"/>
    <w:rsid w:val="00BD0B6D"/>
    <w:rsid w:val="00BD2067"/>
    <w:rsid w:val="00BD3E4D"/>
    <w:rsid w:val="00BD4142"/>
    <w:rsid w:val="00BD7206"/>
    <w:rsid w:val="00BD72D8"/>
    <w:rsid w:val="00BE04BF"/>
    <w:rsid w:val="00BE5C37"/>
    <w:rsid w:val="00BE6381"/>
    <w:rsid w:val="00BE65F7"/>
    <w:rsid w:val="00BE6EEC"/>
    <w:rsid w:val="00BF0703"/>
    <w:rsid w:val="00BF1AE7"/>
    <w:rsid w:val="00BF3CB7"/>
    <w:rsid w:val="00BF4A87"/>
    <w:rsid w:val="00BF5953"/>
    <w:rsid w:val="00C00CD4"/>
    <w:rsid w:val="00C02ED6"/>
    <w:rsid w:val="00C04081"/>
    <w:rsid w:val="00C051F7"/>
    <w:rsid w:val="00C067A6"/>
    <w:rsid w:val="00C10356"/>
    <w:rsid w:val="00C115CC"/>
    <w:rsid w:val="00C1315A"/>
    <w:rsid w:val="00C1316B"/>
    <w:rsid w:val="00C16141"/>
    <w:rsid w:val="00C1741B"/>
    <w:rsid w:val="00C20377"/>
    <w:rsid w:val="00C2235C"/>
    <w:rsid w:val="00C25485"/>
    <w:rsid w:val="00C25981"/>
    <w:rsid w:val="00C425C6"/>
    <w:rsid w:val="00C42B4F"/>
    <w:rsid w:val="00C4345E"/>
    <w:rsid w:val="00C44FE3"/>
    <w:rsid w:val="00C45946"/>
    <w:rsid w:val="00C45ED5"/>
    <w:rsid w:val="00C46077"/>
    <w:rsid w:val="00C50189"/>
    <w:rsid w:val="00C5288E"/>
    <w:rsid w:val="00C54BA7"/>
    <w:rsid w:val="00C568A9"/>
    <w:rsid w:val="00C60553"/>
    <w:rsid w:val="00C61FF5"/>
    <w:rsid w:val="00C62DEA"/>
    <w:rsid w:val="00C638D2"/>
    <w:rsid w:val="00C66839"/>
    <w:rsid w:val="00C71145"/>
    <w:rsid w:val="00C72EF2"/>
    <w:rsid w:val="00C73FF0"/>
    <w:rsid w:val="00C747F8"/>
    <w:rsid w:val="00C77AED"/>
    <w:rsid w:val="00C86B55"/>
    <w:rsid w:val="00C92DAB"/>
    <w:rsid w:val="00C935F0"/>
    <w:rsid w:val="00CA10BE"/>
    <w:rsid w:val="00CA376C"/>
    <w:rsid w:val="00CA3EA7"/>
    <w:rsid w:val="00CA650A"/>
    <w:rsid w:val="00CA6B41"/>
    <w:rsid w:val="00CA6CC6"/>
    <w:rsid w:val="00CB0C2A"/>
    <w:rsid w:val="00CB543C"/>
    <w:rsid w:val="00CB58E5"/>
    <w:rsid w:val="00CC1763"/>
    <w:rsid w:val="00CC2074"/>
    <w:rsid w:val="00CC284F"/>
    <w:rsid w:val="00CC2AA3"/>
    <w:rsid w:val="00CC3613"/>
    <w:rsid w:val="00CC615C"/>
    <w:rsid w:val="00CC720E"/>
    <w:rsid w:val="00CC7EC7"/>
    <w:rsid w:val="00CD1542"/>
    <w:rsid w:val="00CD2CA4"/>
    <w:rsid w:val="00CD3DFB"/>
    <w:rsid w:val="00CE0976"/>
    <w:rsid w:val="00CE49DD"/>
    <w:rsid w:val="00CE4D14"/>
    <w:rsid w:val="00CE6F55"/>
    <w:rsid w:val="00CF283D"/>
    <w:rsid w:val="00CF32EA"/>
    <w:rsid w:val="00CF4EB8"/>
    <w:rsid w:val="00CF7422"/>
    <w:rsid w:val="00D0204C"/>
    <w:rsid w:val="00D025EF"/>
    <w:rsid w:val="00D026BC"/>
    <w:rsid w:val="00D02CEB"/>
    <w:rsid w:val="00D10D24"/>
    <w:rsid w:val="00D1385A"/>
    <w:rsid w:val="00D14158"/>
    <w:rsid w:val="00D170D5"/>
    <w:rsid w:val="00D20F76"/>
    <w:rsid w:val="00D21AD6"/>
    <w:rsid w:val="00D24399"/>
    <w:rsid w:val="00D2591B"/>
    <w:rsid w:val="00D27240"/>
    <w:rsid w:val="00D27523"/>
    <w:rsid w:val="00D306FB"/>
    <w:rsid w:val="00D333DC"/>
    <w:rsid w:val="00D34F9E"/>
    <w:rsid w:val="00D40232"/>
    <w:rsid w:val="00D4099C"/>
    <w:rsid w:val="00D4184F"/>
    <w:rsid w:val="00D51C2D"/>
    <w:rsid w:val="00D51E8E"/>
    <w:rsid w:val="00D537A9"/>
    <w:rsid w:val="00D558A3"/>
    <w:rsid w:val="00D5660C"/>
    <w:rsid w:val="00D62654"/>
    <w:rsid w:val="00D62921"/>
    <w:rsid w:val="00D63249"/>
    <w:rsid w:val="00D632E6"/>
    <w:rsid w:val="00D647FD"/>
    <w:rsid w:val="00D6503C"/>
    <w:rsid w:val="00D704AC"/>
    <w:rsid w:val="00D73D44"/>
    <w:rsid w:val="00D741A8"/>
    <w:rsid w:val="00D7438E"/>
    <w:rsid w:val="00D776F7"/>
    <w:rsid w:val="00D818A7"/>
    <w:rsid w:val="00D81BDF"/>
    <w:rsid w:val="00D82E32"/>
    <w:rsid w:val="00D87F71"/>
    <w:rsid w:val="00D90A51"/>
    <w:rsid w:val="00D92F16"/>
    <w:rsid w:val="00D9489F"/>
    <w:rsid w:val="00D963D7"/>
    <w:rsid w:val="00DA12D4"/>
    <w:rsid w:val="00DA2AB7"/>
    <w:rsid w:val="00DA3EF1"/>
    <w:rsid w:val="00DA4622"/>
    <w:rsid w:val="00DA4E04"/>
    <w:rsid w:val="00DA5872"/>
    <w:rsid w:val="00DA6126"/>
    <w:rsid w:val="00DB428A"/>
    <w:rsid w:val="00DB46A2"/>
    <w:rsid w:val="00DB4DD5"/>
    <w:rsid w:val="00DB51BE"/>
    <w:rsid w:val="00DB5683"/>
    <w:rsid w:val="00DB688D"/>
    <w:rsid w:val="00DB6AA4"/>
    <w:rsid w:val="00DB722D"/>
    <w:rsid w:val="00DC0217"/>
    <w:rsid w:val="00DC0D1F"/>
    <w:rsid w:val="00DD4407"/>
    <w:rsid w:val="00DD5A79"/>
    <w:rsid w:val="00DD7C11"/>
    <w:rsid w:val="00DE5522"/>
    <w:rsid w:val="00DF079E"/>
    <w:rsid w:val="00DF1991"/>
    <w:rsid w:val="00DF4F26"/>
    <w:rsid w:val="00DF7D56"/>
    <w:rsid w:val="00E00C2D"/>
    <w:rsid w:val="00E01AA4"/>
    <w:rsid w:val="00E0720A"/>
    <w:rsid w:val="00E11AF9"/>
    <w:rsid w:val="00E1226B"/>
    <w:rsid w:val="00E1589E"/>
    <w:rsid w:val="00E15B3B"/>
    <w:rsid w:val="00E16778"/>
    <w:rsid w:val="00E24043"/>
    <w:rsid w:val="00E27563"/>
    <w:rsid w:val="00E30C42"/>
    <w:rsid w:val="00E31C38"/>
    <w:rsid w:val="00E34646"/>
    <w:rsid w:val="00E363E1"/>
    <w:rsid w:val="00E36AFB"/>
    <w:rsid w:val="00E3703D"/>
    <w:rsid w:val="00E406B1"/>
    <w:rsid w:val="00E41247"/>
    <w:rsid w:val="00E4201B"/>
    <w:rsid w:val="00E4236F"/>
    <w:rsid w:val="00E44291"/>
    <w:rsid w:val="00E44297"/>
    <w:rsid w:val="00E44D5F"/>
    <w:rsid w:val="00E45773"/>
    <w:rsid w:val="00E462C8"/>
    <w:rsid w:val="00E4679F"/>
    <w:rsid w:val="00E558AA"/>
    <w:rsid w:val="00E57BF0"/>
    <w:rsid w:val="00E57C83"/>
    <w:rsid w:val="00E615CB"/>
    <w:rsid w:val="00E63BEA"/>
    <w:rsid w:val="00E6700B"/>
    <w:rsid w:val="00E70160"/>
    <w:rsid w:val="00E71DC7"/>
    <w:rsid w:val="00E71E24"/>
    <w:rsid w:val="00E75059"/>
    <w:rsid w:val="00E75FF0"/>
    <w:rsid w:val="00E8037F"/>
    <w:rsid w:val="00E80E23"/>
    <w:rsid w:val="00E825B1"/>
    <w:rsid w:val="00E827EF"/>
    <w:rsid w:val="00E85616"/>
    <w:rsid w:val="00E873B2"/>
    <w:rsid w:val="00E90A0D"/>
    <w:rsid w:val="00E976AA"/>
    <w:rsid w:val="00E977DD"/>
    <w:rsid w:val="00EA0781"/>
    <w:rsid w:val="00EA0C9D"/>
    <w:rsid w:val="00EA7D7E"/>
    <w:rsid w:val="00EA7F9E"/>
    <w:rsid w:val="00EB60B5"/>
    <w:rsid w:val="00EC042B"/>
    <w:rsid w:val="00EC0E3E"/>
    <w:rsid w:val="00EC237E"/>
    <w:rsid w:val="00EC79B1"/>
    <w:rsid w:val="00ED20DB"/>
    <w:rsid w:val="00ED6A1E"/>
    <w:rsid w:val="00ED715B"/>
    <w:rsid w:val="00EE1E7A"/>
    <w:rsid w:val="00EE7045"/>
    <w:rsid w:val="00EE7114"/>
    <w:rsid w:val="00EF1AC1"/>
    <w:rsid w:val="00EF2431"/>
    <w:rsid w:val="00EF373C"/>
    <w:rsid w:val="00EF42D3"/>
    <w:rsid w:val="00F009BB"/>
    <w:rsid w:val="00F00CF9"/>
    <w:rsid w:val="00F0318E"/>
    <w:rsid w:val="00F07307"/>
    <w:rsid w:val="00F07706"/>
    <w:rsid w:val="00F11E45"/>
    <w:rsid w:val="00F141EE"/>
    <w:rsid w:val="00F1497A"/>
    <w:rsid w:val="00F172B1"/>
    <w:rsid w:val="00F17FF2"/>
    <w:rsid w:val="00F2004B"/>
    <w:rsid w:val="00F21FF5"/>
    <w:rsid w:val="00F22172"/>
    <w:rsid w:val="00F22477"/>
    <w:rsid w:val="00F23ADA"/>
    <w:rsid w:val="00F24453"/>
    <w:rsid w:val="00F25FAB"/>
    <w:rsid w:val="00F31B47"/>
    <w:rsid w:val="00F327C3"/>
    <w:rsid w:val="00F329A6"/>
    <w:rsid w:val="00F32BE0"/>
    <w:rsid w:val="00F34015"/>
    <w:rsid w:val="00F36FFE"/>
    <w:rsid w:val="00F43BBC"/>
    <w:rsid w:val="00F466B8"/>
    <w:rsid w:val="00F50C5F"/>
    <w:rsid w:val="00F51B69"/>
    <w:rsid w:val="00F52818"/>
    <w:rsid w:val="00F54187"/>
    <w:rsid w:val="00F6719B"/>
    <w:rsid w:val="00F679DC"/>
    <w:rsid w:val="00F70D20"/>
    <w:rsid w:val="00F72AEE"/>
    <w:rsid w:val="00F8250D"/>
    <w:rsid w:val="00F82A23"/>
    <w:rsid w:val="00F844CF"/>
    <w:rsid w:val="00F87F11"/>
    <w:rsid w:val="00F90309"/>
    <w:rsid w:val="00F905EF"/>
    <w:rsid w:val="00F91719"/>
    <w:rsid w:val="00F94087"/>
    <w:rsid w:val="00F951DE"/>
    <w:rsid w:val="00F965D6"/>
    <w:rsid w:val="00F9743D"/>
    <w:rsid w:val="00FA0056"/>
    <w:rsid w:val="00FA1749"/>
    <w:rsid w:val="00FA2067"/>
    <w:rsid w:val="00FB259F"/>
    <w:rsid w:val="00FB2E06"/>
    <w:rsid w:val="00FB35F6"/>
    <w:rsid w:val="00FB79D8"/>
    <w:rsid w:val="00FC11E6"/>
    <w:rsid w:val="00FC121E"/>
    <w:rsid w:val="00FC186E"/>
    <w:rsid w:val="00FC7F8B"/>
    <w:rsid w:val="00FD0043"/>
    <w:rsid w:val="00FD1002"/>
    <w:rsid w:val="00FD3BB7"/>
    <w:rsid w:val="00FD45C6"/>
    <w:rsid w:val="00FD7FED"/>
    <w:rsid w:val="00FE34D2"/>
    <w:rsid w:val="00FE3DFD"/>
    <w:rsid w:val="00FE7423"/>
    <w:rsid w:val="00FF049E"/>
    <w:rsid w:val="00FF23AD"/>
    <w:rsid w:val="00FF4409"/>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94FE9C2-4048-4D74-8323-B1C70CA8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011"/>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9C6011"/>
    <w:pPr>
      <w:keepNext/>
      <w:numPr>
        <w:numId w:val="15"/>
      </w:numPr>
      <w:tabs>
        <w:tab w:val="center" w:pos="4111"/>
      </w:tabs>
      <w:spacing w:before="120"/>
      <w:outlineLvl w:val="0"/>
    </w:pPr>
    <w:rPr>
      <w:b/>
      <w:bCs/>
      <w:kern w:val="1"/>
      <w:lang w:val="en-US"/>
    </w:rPr>
  </w:style>
  <w:style w:type="paragraph" w:styleId="Heading2">
    <w:name w:val="heading 2"/>
    <w:basedOn w:val="Normal"/>
    <w:next w:val="Normal"/>
    <w:link w:val="Heading2Char"/>
    <w:uiPriority w:val="99"/>
    <w:qFormat/>
    <w:rsid w:val="009C6011"/>
    <w:pPr>
      <w:keepNext/>
      <w:keepLines/>
      <w:numPr>
        <w:ilvl w:val="1"/>
        <w:numId w:val="15"/>
      </w:numPr>
      <w:shd w:val="pct5" w:color="auto" w:fill="auto"/>
      <w:spacing w:before="120" w:after="120"/>
      <w:outlineLvl w:val="1"/>
    </w:pPr>
    <w:rPr>
      <w:rFonts w:ascii="SchoolBook" w:hAnsi="SchoolBook" w:cs="SchoolBook"/>
      <w:b/>
      <w:bCs/>
      <w:kern w:val="20"/>
    </w:rPr>
  </w:style>
  <w:style w:type="paragraph" w:styleId="Heading3">
    <w:name w:val="heading 3"/>
    <w:basedOn w:val="Normal"/>
    <w:next w:val="Normal"/>
    <w:link w:val="Heading3Char"/>
    <w:uiPriority w:val="99"/>
    <w:qFormat/>
    <w:rsid w:val="009F257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6011"/>
    <w:rPr>
      <w:b/>
      <w:bCs/>
      <w:kern w:val="1"/>
      <w:sz w:val="20"/>
      <w:szCs w:val="20"/>
      <w:lang w:val="en-US"/>
    </w:rPr>
  </w:style>
  <w:style w:type="character" w:customStyle="1" w:styleId="Heading2Char">
    <w:name w:val="Heading 2 Char"/>
    <w:basedOn w:val="DefaultParagraphFont"/>
    <w:link w:val="Heading2"/>
    <w:uiPriority w:val="99"/>
    <w:locked/>
    <w:rsid w:val="009C6011"/>
    <w:rPr>
      <w:rFonts w:ascii="SchoolBook" w:hAnsi="SchoolBook" w:cs="SchoolBook"/>
      <w:b/>
      <w:bCs/>
      <w:kern w:val="20"/>
      <w:sz w:val="20"/>
      <w:szCs w:val="20"/>
      <w:shd w:val="pct5" w:color="auto" w:fill="auto"/>
    </w:rPr>
  </w:style>
  <w:style w:type="character" w:customStyle="1" w:styleId="Heading3Char">
    <w:name w:val="Heading 3 Char"/>
    <w:basedOn w:val="DefaultParagraphFont"/>
    <w:link w:val="Heading3"/>
    <w:uiPriority w:val="99"/>
    <w:locked/>
    <w:rsid w:val="009F2579"/>
    <w:rPr>
      <w:rFonts w:ascii="Arial" w:hAnsi="Arial" w:cs="Arial"/>
      <w:b/>
      <w:bCs/>
      <w:sz w:val="26"/>
      <w:szCs w:val="26"/>
      <w:lang w:val="ru-RU" w:eastAsia="ru-RU" w:bidi="ar-SA"/>
    </w:rPr>
  </w:style>
  <w:style w:type="paragraph" w:customStyle="1" w:styleId="fieldname">
    <w:name w:val="field_name"/>
    <w:basedOn w:val="Normal"/>
    <w:uiPriority w:val="99"/>
    <w:rsid w:val="009F2579"/>
    <w:pPr>
      <w:autoSpaceDE/>
      <w:autoSpaceDN/>
      <w:spacing w:before="45" w:after="45"/>
      <w:jc w:val="right"/>
    </w:pPr>
    <w:rPr>
      <w:rFonts w:ascii="Arial" w:hAnsi="Arial" w:cs="Arial"/>
      <w:b/>
      <w:bCs/>
      <w:sz w:val="16"/>
      <w:szCs w:val="16"/>
      <w:lang w:val="en-US" w:eastAsia="en-US"/>
    </w:rPr>
  </w:style>
  <w:style w:type="paragraph" w:styleId="Title">
    <w:name w:val="Title"/>
    <w:basedOn w:val="Normal"/>
    <w:link w:val="TitleChar"/>
    <w:uiPriority w:val="99"/>
    <w:qFormat/>
    <w:rsid w:val="009C6011"/>
    <w:pPr>
      <w:spacing w:line="280" w:lineRule="exact"/>
      <w:ind w:firstLine="288"/>
      <w:jc w:val="center"/>
    </w:pPr>
    <w:rPr>
      <w:rFonts w:ascii="Arial" w:hAnsi="Arial" w:cs="Arial"/>
      <w:sz w:val="24"/>
      <w:szCs w:val="24"/>
    </w:rPr>
  </w:style>
  <w:style w:type="character" w:customStyle="1" w:styleId="TitleChar">
    <w:name w:val="Title Char"/>
    <w:basedOn w:val="DefaultParagraphFont"/>
    <w:link w:val="Title"/>
    <w:uiPriority w:val="99"/>
    <w:locked/>
    <w:rsid w:val="009C6011"/>
    <w:rPr>
      <w:rFonts w:ascii="Cambria" w:hAnsi="Cambria" w:cs="Times New Roman"/>
      <w:b/>
      <w:bCs/>
      <w:kern w:val="28"/>
      <w:sz w:val="32"/>
      <w:szCs w:val="32"/>
    </w:rPr>
  </w:style>
  <w:style w:type="paragraph" w:styleId="BodyTextIndent2">
    <w:name w:val="Body Text Indent 2"/>
    <w:basedOn w:val="Normal"/>
    <w:link w:val="BodyTextIndent2Char"/>
    <w:uiPriority w:val="99"/>
    <w:rsid w:val="009C6011"/>
    <w:pPr>
      <w:spacing w:line="280" w:lineRule="exact"/>
      <w:ind w:firstLine="709"/>
      <w:jc w:val="both"/>
    </w:pPr>
    <w:rPr>
      <w:sz w:val="24"/>
      <w:szCs w:val="24"/>
    </w:rPr>
  </w:style>
  <w:style w:type="character" w:customStyle="1" w:styleId="BodyTextIndent2Char">
    <w:name w:val="Body Text Indent 2 Char"/>
    <w:basedOn w:val="DefaultParagraphFont"/>
    <w:link w:val="BodyTextIndent2"/>
    <w:uiPriority w:val="99"/>
    <w:semiHidden/>
    <w:locked/>
    <w:rsid w:val="009C6011"/>
    <w:rPr>
      <w:rFonts w:cs="Times New Roman"/>
      <w:sz w:val="20"/>
      <w:szCs w:val="20"/>
    </w:rPr>
  </w:style>
  <w:style w:type="paragraph" w:customStyle="1" w:styleId="Iauiue">
    <w:name w:val="Iau?iue"/>
    <w:uiPriority w:val="99"/>
    <w:rsid w:val="009C6011"/>
    <w:pPr>
      <w:autoSpaceDE w:val="0"/>
      <w:autoSpaceDN w:val="0"/>
      <w:spacing w:after="0" w:line="240" w:lineRule="auto"/>
    </w:pPr>
    <w:rPr>
      <w:sz w:val="20"/>
      <w:szCs w:val="20"/>
    </w:rPr>
  </w:style>
  <w:style w:type="paragraph" w:styleId="BodyText2">
    <w:name w:val="Body Text 2"/>
    <w:basedOn w:val="Normal"/>
    <w:link w:val="BodyText2Char"/>
    <w:uiPriority w:val="99"/>
    <w:rsid w:val="009C6011"/>
    <w:pPr>
      <w:shd w:val="clear" w:color="auto" w:fill="FFFFFF"/>
      <w:jc w:val="both"/>
    </w:pPr>
  </w:style>
  <w:style w:type="character" w:customStyle="1" w:styleId="BodyText2Char">
    <w:name w:val="Body Text 2 Char"/>
    <w:basedOn w:val="DefaultParagraphFont"/>
    <w:link w:val="BodyText2"/>
    <w:uiPriority w:val="99"/>
    <w:semiHidden/>
    <w:locked/>
    <w:rsid w:val="009C6011"/>
    <w:rPr>
      <w:rFonts w:cs="Times New Roman"/>
      <w:sz w:val="20"/>
      <w:szCs w:val="20"/>
    </w:rPr>
  </w:style>
  <w:style w:type="paragraph" w:styleId="BodyText">
    <w:name w:val="Body Text"/>
    <w:basedOn w:val="Normal"/>
    <w:link w:val="BodyTextChar"/>
    <w:uiPriority w:val="99"/>
    <w:rsid w:val="009C6011"/>
    <w:pPr>
      <w:spacing w:after="120"/>
    </w:pPr>
  </w:style>
  <w:style w:type="character" w:customStyle="1" w:styleId="BodyTextChar">
    <w:name w:val="Body Text Char"/>
    <w:basedOn w:val="DefaultParagraphFont"/>
    <w:link w:val="BodyText"/>
    <w:uiPriority w:val="99"/>
    <w:semiHidden/>
    <w:locked/>
    <w:rsid w:val="009C6011"/>
    <w:rPr>
      <w:rFonts w:cs="Times New Roman"/>
      <w:sz w:val="20"/>
      <w:szCs w:val="20"/>
    </w:rPr>
  </w:style>
  <w:style w:type="paragraph" w:styleId="BodyTextIndent3">
    <w:name w:val="Body Text Indent 3"/>
    <w:basedOn w:val="Normal"/>
    <w:link w:val="BodyTextIndent3Char"/>
    <w:uiPriority w:val="99"/>
    <w:rsid w:val="009C6011"/>
    <w:pPr>
      <w:spacing w:after="120"/>
      <w:ind w:right="590" w:firstLine="284"/>
      <w:jc w:val="both"/>
    </w:pPr>
  </w:style>
  <w:style w:type="character" w:customStyle="1" w:styleId="BodyTextIndent3Char">
    <w:name w:val="Body Text Indent 3 Char"/>
    <w:basedOn w:val="DefaultParagraphFont"/>
    <w:link w:val="BodyTextIndent3"/>
    <w:uiPriority w:val="99"/>
    <w:semiHidden/>
    <w:locked/>
    <w:rsid w:val="009C6011"/>
    <w:rPr>
      <w:rFonts w:cs="Times New Roman"/>
      <w:sz w:val="16"/>
      <w:szCs w:val="16"/>
    </w:rPr>
  </w:style>
  <w:style w:type="paragraph" w:styleId="Subtitle">
    <w:name w:val="Subtitle"/>
    <w:basedOn w:val="Normal"/>
    <w:link w:val="SubtitleChar"/>
    <w:uiPriority w:val="99"/>
    <w:qFormat/>
    <w:rsid w:val="009C6011"/>
    <w:pPr>
      <w:spacing w:line="280" w:lineRule="exact"/>
      <w:ind w:firstLine="709"/>
      <w:jc w:val="center"/>
    </w:pPr>
    <w:rPr>
      <w:b/>
      <w:bCs/>
      <w:sz w:val="24"/>
      <w:szCs w:val="24"/>
    </w:rPr>
  </w:style>
  <w:style w:type="character" w:customStyle="1" w:styleId="SubtitleChar">
    <w:name w:val="Subtitle Char"/>
    <w:basedOn w:val="DefaultParagraphFont"/>
    <w:link w:val="Subtitle"/>
    <w:uiPriority w:val="99"/>
    <w:locked/>
    <w:rsid w:val="009C6011"/>
    <w:rPr>
      <w:rFonts w:ascii="Cambria" w:hAnsi="Cambria" w:cs="Times New Roman"/>
      <w:sz w:val="24"/>
      <w:szCs w:val="24"/>
    </w:rPr>
  </w:style>
  <w:style w:type="paragraph" w:customStyle="1" w:styleId="prg3">
    <w:name w:val="prg3"/>
    <w:basedOn w:val="Normal"/>
    <w:uiPriority w:val="99"/>
    <w:rsid w:val="009C6011"/>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NormalIndent">
    <w:name w:val="Normal Indent"/>
    <w:basedOn w:val="Normal"/>
    <w:uiPriority w:val="99"/>
    <w:rsid w:val="009C6011"/>
    <w:pPr>
      <w:numPr>
        <w:ilvl w:val="4"/>
        <w:numId w:val="15"/>
      </w:numPr>
    </w:pPr>
    <w:rPr>
      <w:lang w:val="en-US"/>
    </w:rPr>
  </w:style>
  <w:style w:type="paragraph" w:customStyle="1" w:styleId="BodyNum">
    <w:name w:val="Body Num"/>
    <w:basedOn w:val="Normal"/>
    <w:uiPriority w:val="99"/>
    <w:rsid w:val="009C6011"/>
    <w:pPr>
      <w:spacing w:after="120"/>
      <w:jc w:val="both"/>
    </w:pPr>
    <w:rPr>
      <w:sz w:val="24"/>
      <w:szCs w:val="24"/>
    </w:rPr>
  </w:style>
  <w:style w:type="paragraph" w:styleId="BodyText3">
    <w:name w:val="Body Text 3"/>
    <w:basedOn w:val="Normal"/>
    <w:link w:val="BodyText3Char"/>
    <w:uiPriority w:val="99"/>
    <w:rsid w:val="009C6011"/>
    <w:rPr>
      <w:b/>
      <w:bCs/>
      <w:sz w:val="24"/>
      <w:szCs w:val="24"/>
    </w:rPr>
  </w:style>
  <w:style w:type="character" w:customStyle="1" w:styleId="BodyText3Char">
    <w:name w:val="Body Text 3 Char"/>
    <w:basedOn w:val="DefaultParagraphFont"/>
    <w:link w:val="BodyText3"/>
    <w:uiPriority w:val="99"/>
    <w:semiHidden/>
    <w:locked/>
    <w:rsid w:val="009C6011"/>
    <w:rPr>
      <w:rFonts w:cs="Times New Roman"/>
      <w:sz w:val="16"/>
      <w:szCs w:val="16"/>
    </w:rPr>
  </w:style>
  <w:style w:type="paragraph" w:customStyle="1" w:styleId="ConsNormal">
    <w:name w:val="ConsNormal"/>
    <w:uiPriority w:val="99"/>
    <w:rsid w:val="009C6011"/>
    <w:pPr>
      <w:widowControl w:val="0"/>
      <w:autoSpaceDE w:val="0"/>
      <w:autoSpaceDN w:val="0"/>
      <w:spacing w:after="0" w:line="240" w:lineRule="auto"/>
      <w:ind w:firstLine="720"/>
    </w:pPr>
    <w:rPr>
      <w:rFonts w:ascii="Arial" w:hAnsi="Arial" w:cs="Arial"/>
      <w:sz w:val="20"/>
      <w:szCs w:val="20"/>
    </w:rPr>
  </w:style>
  <w:style w:type="paragraph" w:styleId="NormalWeb">
    <w:name w:val="Normal (Web)"/>
    <w:basedOn w:val="Normal"/>
    <w:uiPriority w:val="99"/>
    <w:rsid w:val="009C6011"/>
    <w:pPr>
      <w:spacing w:before="100" w:after="100"/>
    </w:pPr>
    <w:rPr>
      <w:sz w:val="24"/>
      <w:szCs w:val="24"/>
    </w:rPr>
  </w:style>
  <w:style w:type="paragraph" w:styleId="Header">
    <w:name w:val="header"/>
    <w:basedOn w:val="Normal"/>
    <w:link w:val="HeaderChar"/>
    <w:uiPriority w:val="99"/>
    <w:rsid w:val="009C6011"/>
    <w:pPr>
      <w:tabs>
        <w:tab w:val="center" w:pos="4677"/>
        <w:tab w:val="right" w:pos="9355"/>
      </w:tabs>
    </w:pPr>
    <w:rPr>
      <w:sz w:val="24"/>
      <w:szCs w:val="24"/>
    </w:rPr>
  </w:style>
  <w:style w:type="character" w:customStyle="1" w:styleId="HeaderChar">
    <w:name w:val="Header Char"/>
    <w:basedOn w:val="DefaultParagraphFont"/>
    <w:link w:val="Header"/>
    <w:uiPriority w:val="99"/>
    <w:semiHidden/>
    <w:locked/>
    <w:rsid w:val="009C6011"/>
    <w:rPr>
      <w:rFonts w:cs="Times New Roman"/>
      <w:sz w:val="20"/>
      <w:szCs w:val="20"/>
    </w:rPr>
  </w:style>
  <w:style w:type="paragraph" w:styleId="Footer">
    <w:name w:val="footer"/>
    <w:basedOn w:val="Normal"/>
    <w:link w:val="FooterChar"/>
    <w:uiPriority w:val="99"/>
    <w:rsid w:val="009C6011"/>
    <w:pPr>
      <w:tabs>
        <w:tab w:val="center" w:pos="4153"/>
        <w:tab w:val="right" w:pos="8306"/>
      </w:tabs>
    </w:pPr>
  </w:style>
  <w:style w:type="character" w:customStyle="1" w:styleId="FooterChar">
    <w:name w:val="Footer Char"/>
    <w:basedOn w:val="DefaultParagraphFont"/>
    <w:link w:val="Footer"/>
    <w:uiPriority w:val="99"/>
    <w:locked/>
    <w:rsid w:val="009C6011"/>
    <w:rPr>
      <w:rFonts w:cs="Times New Roman"/>
      <w:sz w:val="20"/>
      <w:szCs w:val="20"/>
    </w:rPr>
  </w:style>
  <w:style w:type="character" w:styleId="PageNumber">
    <w:name w:val="page number"/>
    <w:basedOn w:val="DefaultParagraphFont"/>
    <w:uiPriority w:val="99"/>
    <w:rsid w:val="009C6011"/>
    <w:rPr>
      <w:rFonts w:cs="Times New Roman"/>
    </w:rPr>
  </w:style>
  <w:style w:type="paragraph" w:styleId="HTMLPreformatted">
    <w:name w:val="HTML Preformatted"/>
    <w:basedOn w:val="Normal"/>
    <w:link w:val="HTMLPreformattedChar"/>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PreformattedChar">
    <w:name w:val="HTML Preformatted Char"/>
    <w:basedOn w:val="DefaultParagraphFont"/>
    <w:link w:val="HTMLPreformatted"/>
    <w:uiPriority w:val="99"/>
    <w:semiHidden/>
    <w:locked/>
    <w:rsid w:val="009C6011"/>
    <w:rPr>
      <w:rFonts w:ascii="Courier New" w:hAnsi="Courier New" w:cs="Courier New"/>
      <w:sz w:val="20"/>
      <w:szCs w:val="20"/>
    </w:rPr>
  </w:style>
  <w:style w:type="paragraph" w:styleId="BalloonText">
    <w:name w:val="Balloon Text"/>
    <w:basedOn w:val="Normal"/>
    <w:link w:val="BalloonTextChar"/>
    <w:uiPriority w:val="99"/>
    <w:semiHidden/>
    <w:rsid w:val="00ED71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6011"/>
    <w:rPr>
      <w:rFonts w:ascii="Tahoma" w:hAnsi="Tahoma" w:cs="Tahoma"/>
      <w:sz w:val="16"/>
      <w:szCs w:val="16"/>
    </w:rPr>
  </w:style>
  <w:style w:type="paragraph" w:styleId="PlainText">
    <w:name w:val="Plain Text"/>
    <w:basedOn w:val="Normal"/>
    <w:link w:val="PlainTextChar"/>
    <w:uiPriority w:val="99"/>
    <w:rsid w:val="00AF0324"/>
    <w:pPr>
      <w:autoSpaceDE/>
      <w:autoSpaceDN/>
    </w:pPr>
    <w:rPr>
      <w:rFonts w:ascii="Courier New" w:hAnsi="Courier New" w:cs="Courier New"/>
    </w:rPr>
  </w:style>
  <w:style w:type="character" w:customStyle="1" w:styleId="PlainTextChar">
    <w:name w:val="Plain Text Char"/>
    <w:basedOn w:val="DefaultParagraphFont"/>
    <w:link w:val="PlainText"/>
    <w:uiPriority w:val="99"/>
    <w:semiHidden/>
    <w:locked/>
    <w:rsid w:val="009C6011"/>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Normal"/>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Normal"/>
    <w:uiPriority w:val="99"/>
    <w:rsid w:val="00574923"/>
    <w:pPr>
      <w:widowControl w:val="0"/>
      <w:shd w:val="clear" w:color="auto" w:fill="FFFFFF"/>
      <w:adjustRightInd w:val="0"/>
      <w:spacing w:before="119" w:after="119"/>
      <w:jc w:val="both"/>
    </w:pPr>
    <w:rPr>
      <w:sz w:val="24"/>
      <w:szCs w:val="24"/>
    </w:rPr>
  </w:style>
  <w:style w:type="paragraph" w:styleId="ListBullet">
    <w:name w:val="List Bullet"/>
    <w:basedOn w:val="Normal"/>
    <w:autoRedefine/>
    <w:uiPriority w:val="99"/>
    <w:rsid w:val="005C6E9F"/>
    <w:pPr>
      <w:numPr>
        <w:numId w:val="7"/>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Normal"/>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DefaultParagraphFont"/>
    <w:uiPriority w:val="99"/>
    <w:rsid w:val="009F2579"/>
    <w:rPr>
      <w:rFonts w:cs="Times New Roman"/>
      <w:sz w:val="9"/>
      <w:szCs w:val="9"/>
    </w:rPr>
  </w:style>
  <w:style w:type="paragraph" w:customStyle="1" w:styleId="fieldcomment">
    <w:name w:val="field_comment"/>
    <w:basedOn w:val="Normal"/>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Normal"/>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Normal"/>
    <w:uiPriority w:val="99"/>
    <w:rsid w:val="009F2579"/>
    <w:pPr>
      <w:autoSpaceDE/>
      <w:autoSpaceDN/>
      <w:spacing w:after="150"/>
      <w:ind w:left="6120"/>
      <w:jc w:val="center"/>
      <w:textAlignment w:val="top"/>
    </w:pPr>
    <w:rPr>
      <w:rFonts w:ascii="Arial" w:hAnsi="Arial" w:cs="Arial"/>
      <w:lang w:val="en-US" w:eastAsia="en-US"/>
    </w:rPr>
  </w:style>
  <w:style w:type="character" w:styleId="Hyperlink">
    <w:name w:val="Hyperlink"/>
    <w:basedOn w:val="DefaultParagraphFont"/>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CommentReference">
    <w:name w:val="annotation reference"/>
    <w:basedOn w:val="DefaultParagraphFont"/>
    <w:uiPriority w:val="99"/>
    <w:semiHidden/>
    <w:unhideWhenUsed/>
    <w:rsid w:val="00752DC2"/>
    <w:rPr>
      <w:rFonts w:cs="Times New Roman"/>
      <w:sz w:val="16"/>
      <w:szCs w:val="16"/>
    </w:rPr>
  </w:style>
  <w:style w:type="paragraph" w:styleId="CommentText">
    <w:name w:val="annotation text"/>
    <w:basedOn w:val="Normal"/>
    <w:link w:val="CommentTextChar"/>
    <w:uiPriority w:val="99"/>
    <w:semiHidden/>
    <w:unhideWhenUsed/>
    <w:rsid w:val="00752DC2"/>
  </w:style>
  <w:style w:type="character" w:customStyle="1" w:styleId="CommentTextChar">
    <w:name w:val="Comment Text Char"/>
    <w:basedOn w:val="DefaultParagraphFont"/>
    <w:link w:val="CommentText"/>
    <w:uiPriority w:val="99"/>
    <w:semiHidden/>
    <w:locked/>
    <w:rsid w:val="00752DC2"/>
    <w:rPr>
      <w:rFonts w:cs="Times New Roman"/>
      <w:sz w:val="20"/>
      <w:szCs w:val="20"/>
    </w:rPr>
  </w:style>
  <w:style w:type="paragraph" w:styleId="CommentSubject">
    <w:name w:val="annotation subject"/>
    <w:basedOn w:val="CommentText"/>
    <w:next w:val="CommentText"/>
    <w:link w:val="CommentSubjectChar"/>
    <w:uiPriority w:val="99"/>
    <w:semiHidden/>
    <w:unhideWhenUsed/>
    <w:rsid w:val="000D3A26"/>
    <w:rPr>
      <w:b/>
      <w:bCs/>
    </w:rPr>
  </w:style>
  <w:style w:type="character" w:customStyle="1" w:styleId="CommentSubjectChar">
    <w:name w:val="Comment Subject Char"/>
    <w:basedOn w:val="CommentTextChar"/>
    <w:link w:val="CommentSubject"/>
    <w:uiPriority w:val="99"/>
    <w:semiHidden/>
    <w:locked/>
    <w:rsid w:val="000D3A26"/>
    <w:rPr>
      <w:rFonts w:cs="Times New Roman"/>
      <w:b/>
      <w:bCs/>
      <w:sz w:val="20"/>
      <w:szCs w:val="20"/>
    </w:rPr>
  </w:style>
  <w:style w:type="paragraph" w:styleId="Revision">
    <w:name w:val="Revision"/>
    <w:hidden/>
    <w:uiPriority w:val="99"/>
    <w:semiHidden/>
    <w:rsid w:val="000D3A26"/>
    <w:pPr>
      <w:spacing w:after="0" w:line="240" w:lineRule="auto"/>
    </w:pPr>
    <w:rPr>
      <w:sz w:val="20"/>
      <w:szCs w:val="20"/>
    </w:rPr>
  </w:style>
  <w:style w:type="paragraph" w:customStyle="1" w:styleId="a">
    <w:name w:val="Стиль"/>
    <w:basedOn w:val="Normal"/>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Normal"/>
    <w:rsid w:val="00D7438E"/>
    <w:pPr>
      <w:autoSpaceDE/>
      <w:autoSpaceDN/>
    </w:pPr>
    <w:rPr>
      <w:rFonts w:ascii="Verdana" w:eastAsia="Arial Unicode MS" w:hAnsi="Verdana"/>
      <w:sz w:val="16"/>
      <w:szCs w:val="24"/>
      <w:lang w:eastAsia="en-US"/>
    </w:rPr>
  </w:style>
  <w:style w:type="paragraph" w:styleId="ListParagraph">
    <w:name w:val="List Paragraph"/>
    <w:basedOn w:val="Normal"/>
    <w:uiPriority w:val="34"/>
    <w:qFormat/>
    <w:rsid w:val="008D1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73829">
      <w:marLeft w:val="0"/>
      <w:marRight w:val="0"/>
      <w:marTop w:val="0"/>
      <w:marBottom w:val="0"/>
      <w:divBdr>
        <w:top w:val="none" w:sz="0" w:space="0" w:color="auto"/>
        <w:left w:val="none" w:sz="0" w:space="0" w:color="auto"/>
        <w:bottom w:val="none" w:sz="0" w:space="0" w:color="auto"/>
        <w:right w:val="none" w:sz="0" w:space="0" w:color="auto"/>
      </w:divBdr>
    </w:div>
    <w:div w:id="161773830">
      <w:marLeft w:val="0"/>
      <w:marRight w:val="0"/>
      <w:marTop w:val="0"/>
      <w:marBottom w:val="0"/>
      <w:divBdr>
        <w:top w:val="none" w:sz="0" w:space="0" w:color="auto"/>
        <w:left w:val="none" w:sz="0" w:space="0" w:color="auto"/>
        <w:bottom w:val="none" w:sz="0" w:space="0" w:color="auto"/>
        <w:right w:val="none" w:sz="0" w:space="0" w:color="auto"/>
      </w:divBdr>
    </w:div>
    <w:div w:id="44728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Статус_x0020_документа xmlns="a1d7872c-6126-4a32-b4d6-b4aed00f16be">008_в работе</Статус_x0020_документа>
    <_EndDate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7ADD4-BA13-41C1-912B-3B35B395ACB3}">
  <ds:schemaRefs>
    <ds:schemaRef ds:uri="http://schemas.microsoft.com/sharepoint/v3/contenttype/forms"/>
  </ds:schemaRefs>
</ds:datastoreItem>
</file>

<file path=customXml/itemProps2.xml><?xml version="1.0" encoding="utf-8"?>
<ds:datastoreItem xmlns:ds="http://schemas.openxmlformats.org/officeDocument/2006/customXml" ds:itemID="{BF5A20CD-DC94-4658-80F7-970290A357D3}">
  <ds:schemaRefs>
    <ds:schemaRef ds:uri="http://schemas.microsoft.com/office/2006/metadata/properties"/>
    <ds:schemaRef ds:uri="a1d7872c-6126-4a32-b4d6-b4aed00f16be"/>
    <ds:schemaRef ds:uri="http://schemas.microsoft.com/sharepoint/v3/fields"/>
  </ds:schemaRefs>
</ds:datastoreItem>
</file>

<file path=customXml/itemProps3.xml><?xml version="1.0" encoding="utf-8"?>
<ds:datastoreItem xmlns:ds="http://schemas.openxmlformats.org/officeDocument/2006/customXml" ds:itemID="{A76DEC4D-17D2-4D67-8877-50E0B913C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153CAD-51D0-4A34-99B5-7B59D36F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6442</Words>
  <Characters>36726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43082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Катерина Родионова</cp:lastModifiedBy>
  <cp:revision>5</cp:revision>
  <cp:lastPrinted>2020-09-03T07:29:00Z</cp:lastPrinted>
  <dcterms:created xsi:type="dcterms:W3CDTF">2020-09-02T08:24:00Z</dcterms:created>
  <dcterms:modified xsi:type="dcterms:W3CDTF">2020-09-15T11:18:00Z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